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B91AF" w14:textId="08F4BC65" w:rsidR="0041059B" w:rsidRPr="0041059B" w:rsidRDefault="00EA3462" w:rsidP="0041059B">
      <w:pPr>
        <w:jc w:val="center"/>
        <w:rPr>
          <w:rFonts w:asciiTheme="majorHAnsi" w:hAnsiTheme="majorHAnsi" w:cstheme="majorHAnsi"/>
          <w:b/>
          <w:sz w:val="32"/>
          <w:szCs w:val="32"/>
          <w:u w:val="single"/>
        </w:rPr>
      </w:pPr>
      <w:r w:rsidRPr="0041059B">
        <w:rPr>
          <w:rFonts w:asciiTheme="majorHAnsi" w:hAnsiTheme="majorHAnsi" w:cstheme="majorHAnsi"/>
          <w:b/>
          <w:sz w:val="32"/>
          <w:szCs w:val="32"/>
          <w:u w:val="single"/>
        </w:rPr>
        <w:t xml:space="preserve">Appendix </w:t>
      </w:r>
      <w:r w:rsidR="001C6892">
        <w:rPr>
          <w:rFonts w:asciiTheme="majorHAnsi" w:hAnsiTheme="majorHAnsi" w:cstheme="majorHAnsi"/>
          <w:b/>
          <w:sz w:val="32"/>
          <w:szCs w:val="32"/>
          <w:u w:val="single"/>
        </w:rPr>
        <w:t>A</w:t>
      </w:r>
      <w:r w:rsidRPr="0041059B">
        <w:rPr>
          <w:rFonts w:asciiTheme="majorHAnsi" w:hAnsiTheme="majorHAnsi" w:cstheme="majorHAnsi"/>
          <w:b/>
          <w:sz w:val="32"/>
          <w:szCs w:val="32"/>
          <w:u w:val="single"/>
        </w:rPr>
        <w:t xml:space="preserve">: </w:t>
      </w:r>
      <w:r w:rsidR="001C6892">
        <w:rPr>
          <w:rFonts w:asciiTheme="majorHAnsi" w:hAnsiTheme="majorHAnsi" w:cstheme="majorHAnsi"/>
          <w:b/>
          <w:sz w:val="32"/>
          <w:szCs w:val="32"/>
          <w:u w:val="single"/>
        </w:rPr>
        <w:t xml:space="preserve">Safe Use and Managing Spills </w:t>
      </w:r>
    </w:p>
    <w:p w14:paraId="7111080F" w14:textId="71035BF4" w:rsidR="000A0E16" w:rsidRPr="0041059B" w:rsidRDefault="000A0E16" w:rsidP="0041059B">
      <w:pPr>
        <w:jc w:val="center"/>
        <w:rPr>
          <w:rFonts w:asciiTheme="majorHAnsi" w:hAnsiTheme="majorHAnsi" w:cstheme="majorHAnsi"/>
          <w:b/>
          <w:i/>
          <w:sz w:val="22"/>
          <w:szCs w:val="22"/>
        </w:rPr>
      </w:pPr>
    </w:p>
    <w:p w14:paraId="7D7A7239" w14:textId="51FC8495" w:rsidR="0041059B" w:rsidRPr="0041059B" w:rsidRDefault="0041059B" w:rsidP="0041059B">
      <w:pPr>
        <w:rPr>
          <w:rFonts w:asciiTheme="majorHAnsi" w:hAnsiTheme="majorHAnsi" w:cstheme="majorHAnsi"/>
          <w:b/>
          <w:i/>
        </w:rPr>
      </w:pPr>
      <w:r>
        <w:rPr>
          <w:rFonts w:asciiTheme="majorHAnsi" w:hAnsiTheme="majorHAnsi" w:cstheme="majorHAnsi"/>
          <w:b/>
          <w:i/>
        </w:rPr>
        <w:t>General Safe Usage</w:t>
      </w:r>
    </w:p>
    <w:p w14:paraId="30626EA3" w14:textId="77777777" w:rsidR="0041059B" w:rsidRPr="0041059B" w:rsidRDefault="0041059B" w:rsidP="0041059B">
      <w:pPr>
        <w:pStyle w:val="ListParagraph"/>
        <w:numPr>
          <w:ilvl w:val="0"/>
          <w:numId w:val="23"/>
        </w:numPr>
        <w:rPr>
          <w:rFonts w:asciiTheme="majorHAnsi" w:hAnsiTheme="majorHAnsi" w:cstheme="majorHAnsi"/>
          <w:sz w:val="24"/>
          <w:szCs w:val="24"/>
        </w:rPr>
      </w:pPr>
      <w:r w:rsidRPr="0041059B">
        <w:rPr>
          <w:rFonts w:asciiTheme="majorHAnsi" w:hAnsiTheme="majorHAnsi" w:cstheme="majorHAnsi"/>
          <w:sz w:val="24"/>
          <w:szCs w:val="24"/>
        </w:rPr>
        <w:t>Wear a laboratory coat or other protective clothing at all times in areas where licensed materials are used.</w:t>
      </w:r>
    </w:p>
    <w:p w14:paraId="4B3B345D" w14:textId="77777777" w:rsidR="0041059B" w:rsidRPr="0041059B" w:rsidRDefault="0041059B" w:rsidP="0041059B">
      <w:pPr>
        <w:pStyle w:val="ListParagraph"/>
        <w:numPr>
          <w:ilvl w:val="0"/>
          <w:numId w:val="23"/>
        </w:numPr>
        <w:rPr>
          <w:rFonts w:asciiTheme="majorHAnsi" w:hAnsiTheme="majorHAnsi" w:cstheme="majorHAnsi"/>
          <w:sz w:val="24"/>
          <w:szCs w:val="24"/>
        </w:rPr>
      </w:pPr>
      <w:r w:rsidRPr="0041059B">
        <w:rPr>
          <w:rFonts w:asciiTheme="majorHAnsi" w:hAnsiTheme="majorHAnsi" w:cstheme="majorHAnsi"/>
          <w:sz w:val="24"/>
          <w:szCs w:val="24"/>
        </w:rPr>
        <w:t>Wear disposable gloves at all times when handling licensed materials.</w:t>
      </w:r>
    </w:p>
    <w:p w14:paraId="3954A2C3" w14:textId="77777777" w:rsidR="0041059B" w:rsidRPr="0041059B" w:rsidRDefault="0041059B" w:rsidP="0041059B">
      <w:pPr>
        <w:pStyle w:val="ListParagraph"/>
        <w:numPr>
          <w:ilvl w:val="0"/>
          <w:numId w:val="23"/>
        </w:numPr>
        <w:rPr>
          <w:rFonts w:asciiTheme="majorHAnsi" w:hAnsiTheme="majorHAnsi" w:cstheme="majorHAnsi"/>
          <w:sz w:val="24"/>
          <w:szCs w:val="24"/>
        </w:rPr>
      </w:pPr>
      <w:r w:rsidRPr="0041059B">
        <w:rPr>
          <w:rFonts w:asciiTheme="majorHAnsi" w:hAnsiTheme="majorHAnsi" w:cstheme="majorHAnsi"/>
          <w:sz w:val="24"/>
          <w:szCs w:val="24"/>
        </w:rPr>
        <w:t>After each procedure or before leaving the area, monitor hands, shoes, and clothing for contamination in a low-background area.</w:t>
      </w:r>
    </w:p>
    <w:p w14:paraId="7EF4D78C" w14:textId="77777777" w:rsidR="0041059B" w:rsidRPr="0041059B" w:rsidRDefault="0041059B" w:rsidP="0041059B">
      <w:pPr>
        <w:pStyle w:val="ListParagraph"/>
        <w:numPr>
          <w:ilvl w:val="0"/>
          <w:numId w:val="23"/>
        </w:numPr>
        <w:rPr>
          <w:rFonts w:asciiTheme="majorHAnsi" w:hAnsiTheme="majorHAnsi" w:cstheme="majorHAnsi"/>
          <w:sz w:val="24"/>
          <w:szCs w:val="24"/>
        </w:rPr>
      </w:pPr>
      <w:r w:rsidRPr="0041059B">
        <w:rPr>
          <w:rFonts w:asciiTheme="majorHAnsi" w:hAnsiTheme="majorHAnsi" w:cstheme="majorHAnsi"/>
          <w:sz w:val="24"/>
          <w:szCs w:val="24"/>
        </w:rPr>
        <w:t>Do not eat, drink, smoke, or apply cosmetics in any area where licensed material is stored or used.</w:t>
      </w:r>
    </w:p>
    <w:p w14:paraId="11FE055B" w14:textId="77777777" w:rsidR="0041059B" w:rsidRPr="0041059B" w:rsidRDefault="0041059B" w:rsidP="0041059B">
      <w:pPr>
        <w:pStyle w:val="ListParagraph"/>
        <w:numPr>
          <w:ilvl w:val="0"/>
          <w:numId w:val="23"/>
        </w:numPr>
        <w:rPr>
          <w:rFonts w:asciiTheme="majorHAnsi" w:hAnsiTheme="majorHAnsi" w:cstheme="majorHAnsi"/>
          <w:sz w:val="24"/>
          <w:szCs w:val="24"/>
        </w:rPr>
      </w:pPr>
      <w:r w:rsidRPr="0041059B">
        <w:rPr>
          <w:rFonts w:asciiTheme="majorHAnsi" w:hAnsiTheme="majorHAnsi" w:cstheme="majorHAnsi"/>
          <w:sz w:val="24"/>
          <w:szCs w:val="24"/>
        </w:rPr>
        <w:t>Do not store food, drink, or personal effects in areas where licensed material is stored or used.</w:t>
      </w:r>
    </w:p>
    <w:p w14:paraId="59203253" w14:textId="77777777" w:rsidR="0041059B" w:rsidRPr="0041059B" w:rsidRDefault="0041059B" w:rsidP="0041059B">
      <w:pPr>
        <w:pStyle w:val="ListParagraph"/>
        <w:numPr>
          <w:ilvl w:val="0"/>
          <w:numId w:val="23"/>
        </w:numPr>
        <w:rPr>
          <w:rFonts w:asciiTheme="majorHAnsi" w:hAnsiTheme="majorHAnsi" w:cstheme="majorHAnsi"/>
          <w:sz w:val="24"/>
          <w:szCs w:val="24"/>
        </w:rPr>
      </w:pPr>
      <w:r w:rsidRPr="0041059B">
        <w:rPr>
          <w:rFonts w:asciiTheme="majorHAnsi" w:hAnsiTheme="majorHAnsi" w:cstheme="majorHAnsi"/>
          <w:sz w:val="24"/>
          <w:szCs w:val="24"/>
        </w:rPr>
        <w:t>Wear personnel monitoring devices, if required, at all times while in areas where licensed materials are used or stored.</w:t>
      </w:r>
    </w:p>
    <w:p w14:paraId="433771D2" w14:textId="77777777" w:rsidR="0041059B" w:rsidRPr="0041059B" w:rsidRDefault="0041059B" w:rsidP="0041059B">
      <w:pPr>
        <w:pStyle w:val="ListParagraph"/>
        <w:numPr>
          <w:ilvl w:val="0"/>
          <w:numId w:val="23"/>
        </w:numPr>
        <w:rPr>
          <w:rFonts w:asciiTheme="majorHAnsi" w:hAnsiTheme="majorHAnsi" w:cstheme="majorHAnsi"/>
          <w:sz w:val="24"/>
          <w:szCs w:val="24"/>
        </w:rPr>
      </w:pPr>
      <w:r w:rsidRPr="0041059B">
        <w:rPr>
          <w:rFonts w:asciiTheme="majorHAnsi" w:hAnsiTheme="majorHAnsi" w:cstheme="majorHAnsi"/>
          <w:sz w:val="24"/>
          <w:szCs w:val="24"/>
        </w:rPr>
        <w:t>Dispose of radioactive waste only in designated, labeled, and properly shielded receptacles.</w:t>
      </w:r>
    </w:p>
    <w:p w14:paraId="41164CB2" w14:textId="77777777" w:rsidR="0041059B" w:rsidRPr="0041059B" w:rsidRDefault="0041059B" w:rsidP="0041059B">
      <w:pPr>
        <w:pStyle w:val="ListParagraph"/>
        <w:numPr>
          <w:ilvl w:val="0"/>
          <w:numId w:val="23"/>
        </w:numPr>
        <w:rPr>
          <w:rFonts w:asciiTheme="majorHAnsi" w:hAnsiTheme="majorHAnsi" w:cstheme="majorHAnsi"/>
          <w:sz w:val="24"/>
          <w:szCs w:val="24"/>
        </w:rPr>
      </w:pPr>
      <w:r w:rsidRPr="0041059B">
        <w:rPr>
          <w:rFonts w:asciiTheme="majorHAnsi" w:hAnsiTheme="majorHAnsi" w:cstheme="majorHAnsi"/>
          <w:sz w:val="24"/>
          <w:szCs w:val="24"/>
        </w:rPr>
        <w:t>Never pipette by mouth.</w:t>
      </w:r>
    </w:p>
    <w:p w14:paraId="0F89267A" w14:textId="77777777" w:rsidR="0041059B" w:rsidRPr="0041059B" w:rsidRDefault="0041059B" w:rsidP="0041059B">
      <w:pPr>
        <w:pStyle w:val="ListParagraph"/>
        <w:numPr>
          <w:ilvl w:val="0"/>
          <w:numId w:val="23"/>
        </w:numPr>
        <w:rPr>
          <w:rFonts w:asciiTheme="majorHAnsi" w:hAnsiTheme="majorHAnsi" w:cstheme="majorHAnsi"/>
          <w:sz w:val="24"/>
          <w:szCs w:val="24"/>
        </w:rPr>
      </w:pPr>
      <w:r w:rsidRPr="0041059B">
        <w:rPr>
          <w:rFonts w:asciiTheme="majorHAnsi" w:hAnsiTheme="majorHAnsi" w:cstheme="majorHAnsi"/>
          <w:sz w:val="24"/>
          <w:szCs w:val="24"/>
        </w:rPr>
        <w:t>Store radioactive solutions in clearly labeled containers.</w:t>
      </w:r>
    </w:p>
    <w:p w14:paraId="1B95D9AF" w14:textId="77777777" w:rsidR="0041059B" w:rsidRPr="0041059B" w:rsidRDefault="0041059B" w:rsidP="0041059B">
      <w:pPr>
        <w:pStyle w:val="ListParagraph"/>
        <w:numPr>
          <w:ilvl w:val="0"/>
          <w:numId w:val="23"/>
        </w:numPr>
        <w:rPr>
          <w:rFonts w:asciiTheme="majorHAnsi" w:hAnsiTheme="majorHAnsi" w:cstheme="majorHAnsi"/>
          <w:sz w:val="24"/>
          <w:szCs w:val="24"/>
        </w:rPr>
      </w:pPr>
      <w:r w:rsidRPr="0041059B">
        <w:rPr>
          <w:rFonts w:asciiTheme="majorHAnsi" w:hAnsiTheme="majorHAnsi" w:cstheme="majorHAnsi"/>
          <w:sz w:val="24"/>
          <w:szCs w:val="24"/>
        </w:rPr>
        <w:t>Safely handle sealed sources.</w:t>
      </w:r>
    </w:p>
    <w:p w14:paraId="5ECCCD5D" w14:textId="02DE2A05" w:rsidR="0041059B" w:rsidRDefault="0041059B" w:rsidP="0041059B">
      <w:pPr>
        <w:pStyle w:val="ListParagraph"/>
        <w:numPr>
          <w:ilvl w:val="0"/>
          <w:numId w:val="23"/>
        </w:numPr>
        <w:rPr>
          <w:rFonts w:asciiTheme="majorHAnsi" w:hAnsiTheme="majorHAnsi" w:cstheme="majorHAnsi"/>
          <w:sz w:val="24"/>
          <w:szCs w:val="24"/>
        </w:rPr>
      </w:pPr>
      <w:r w:rsidRPr="0041059B">
        <w:rPr>
          <w:rFonts w:asciiTheme="majorHAnsi" w:hAnsiTheme="majorHAnsi" w:cstheme="majorHAnsi"/>
          <w:sz w:val="24"/>
          <w:szCs w:val="24"/>
        </w:rPr>
        <w:t>Secure all licensed material when it material when it is not under the constant surveillance and immediate control of the user(s).</w:t>
      </w:r>
    </w:p>
    <w:p w14:paraId="1FFEC49E" w14:textId="40C97FE8" w:rsidR="003F34BB" w:rsidRDefault="003F34BB" w:rsidP="003F34BB">
      <w:pPr>
        <w:pStyle w:val="ListParagraph"/>
        <w:numPr>
          <w:ilvl w:val="0"/>
          <w:numId w:val="23"/>
        </w:numPr>
        <w:rPr>
          <w:rFonts w:asciiTheme="majorHAnsi" w:hAnsiTheme="majorHAnsi" w:cstheme="majorHAnsi"/>
          <w:sz w:val="24"/>
          <w:szCs w:val="24"/>
        </w:rPr>
      </w:pPr>
      <w:r w:rsidRPr="003F34BB">
        <w:rPr>
          <w:rFonts w:asciiTheme="majorHAnsi" w:hAnsiTheme="majorHAnsi" w:cstheme="majorHAnsi"/>
          <w:sz w:val="24"/>
          <w:szCs w:val="24"/>
        </w:rPr>
        <w:t>Shielding materials must be available for specific isotopes used in the lab. Use lead shielding for gamma emitters; Plexiglas for high energy beta emitters.</w:t>
      </w:r>
    </w:p>
    <w:p w14:paraId="14367E95" w14:textId="77777777" w:rsidR="003F34BB" w:rsidRPr="003F34BB" w:rsidRDefault="003F34BB" w:rsidP="003F34BB">
      <w:pPr>
        <w:pStyle w:val="ListParagraph"/>
        <w:numPr>
          <w:ilvl w:val="0"/>
          <w:numId w:val="23"/>
        </w:numPr>
        <w:rPr>
          <w:rFonts w:asciiTheme="majorHAnsi" w:hAnsiTheme="majorHAnsi" w:cstheme="majorHAnsi"/>
          <w:sz w:val="24"/>
          <w:szCs w:val="24"/>
        </w:rPr>
      </w:pPr>
      <w:r w:rsidRPr="003F34BB">
        <w:rPr>
          <w:rFonts w:asciiTheme="majorHAnsi" w:hAnsiTheme="majorHAnsi" w:cstheme="majorHAnsi"/>
          <w:sz w:val="24"/>
          <w:szCs w:val="24"/>
        </w:rPr>
        <w:t>All unstable and/or volatile radioactive materials must be used in chemical fume hoods.</w:t>
      </w:r>
    </w:p>
    <w:p w14:paraId="0D3CABEB" w14:textId="48DE40A4" w:rsidR="003F34BB" w:rsidRDefault="003F34BB" w:rsidP="003F34BB">
      <w:pPr>
        <w:pStyle w:val="ListParagraph"/>
        <w:numPr>
          <w:ilvl w:val="0"/>
          <w:numId w:val="23"/>
        </w:numPr>
        <w:rPr>
          <w:rFonts w:asciiTheme="majorHAnsi" w:hAnsiTheme="majorHAnsi" w:cstheme="majorHAnsi"/>
          <w:sz w:val="24"/>
          <w:szCs w:val="24"/>
        </w:rPr>
      </w:pPr>
      <w:r w:rsidRPr="003F34BB">
        <w:rPr>
          <w:rFonts w:asciiTheme="majorHAnsi" w:hAnsiTheme="majorHAnsi" w:cstheme="majorHAnsi"/>
          <w:sz w:val="24"/>
          <w:szCs w:val="24"/>
        </w:rPr>
        <w:t>Follow any additional safety precautions provided by the radioisotope manufacturer or vendor. Maintain a copy of any package inserts.</w:t>
      </w:r>
    </w:p>
    <w:p w14:paraId="7A13F522" w14:textId="77777777" w:rsidR="003F34BB" w:rsidRPr="003F34BB" w:rsidRDefault="003F34BB" w:rsidP="003F34BB">
      <w:pPr>
        <w:pStyle w:val="ListParagraph"/>
        <w:numPr>
          <w:ilvl w:val="0"/>
          <w:numId w:val="23"/>
        </w:numPr>
        <w:rPr>
          <w:rFonts w:asciiTheme="majorHAnsi" w:hAnsiTheme="majorHAnsi" w:cstheme="majorHAnsi"/>
          <w:sz w:val="24"/>
          <w:szCs w:val="24"/>
        </w:rPr>
      </w:pPr>
      <w:r w:rsidRPr="003F34BB">
        <w:rPr>
          <w:rFonts w:asciiTheme="majorHAnsi" w:hAnsiTheme="majorHAnsi" w:cstheme="majorHAnsi"/>
          <w:sz w:val="24"/>
          <w:szCs w:val="24"/>
        </w:rPr>
        <w:t xml:space="preserve">All countertops where radioactive materials are used must be clearly defined and labeled with the radiation symbol. </w:t>
      </w:r>
    </w:p>
    <w:p w14:paraId="6AB01F52" w14:textId="77777777" w:rsidR="003F34BB" w:rsidRPr="003F34BB" w:rsidRDefault="003F34BB" w:rsidP="003F34BB">
      <w:pPr>
        <w:pStyle w:val="ListParagraph"/>
        <w:numPr>
          <w:ilvl w:val="0"/>
          <w:numId w:val="23"/>
        </w:numPr>
        <w:rPr>
          <w:rFonts w:asciiTheme="majorHAnsi" w:hAnsiTheme="majorHAnsi" w:cstheme="majorHAnsi"/>
          <w:sz w:val="24"/>
          <w:szCs w:val="24"/>
        </w:rPr>
      </w:pPr>
      <w:r w:rsidRPr="003F34BB">
        <w:rPr>
          <w:rFonts w:asciiTheme="majorHAnsi" w:hAnsiTheme="majorHAnsi" w:cstheme="majorHAnsi"/>
          <w:sz w:val="24"/>
          <w:szCs w:val="24"/>
        </w:rPr>
        <w:t xml:space="preserve">All hoods in which radioactive materials are used must be clearly labeled with the radiation symbol. </w:t>
      </w:r>
    </w:p>
    <w:p w14:paraId="01AE844E" w14:textId="77777777" w:rsidR="003F34BB" w:rsidRPr="003F34BB" w:rsidRDefault="003F34BB" w:rsidP="003F34BB">
      <w:pPr>
        <w:pStyle w:val="ListParagraph"/>
        <w:numPr>
          <w:ilvl w:val="0"/>
          <w:numId w:val="23"/>
        </w:numPr>
        <w:rPr>
          <w:rFonts w:asciiTheme="majorHAnsi" w:hAnsiTheme="majorHAnsi" w:cstheme="majorHAnsi"/>
          <w:sz w:val="24"/>
          <w:szCs w:val="24"/>
        </w:rPr>
      </w:pPr>
      <w:r w:rsidRPr="003F34BB">
        <w:rPr>
          <w:rFonts w:asciiTheme="majorHAnsi" w:hAnsiTheme="majorHAnsi" w:cstheme="majorHAnsi"/>
          <w:sz w:val="24"/>
          <w:szCs w:val="24"/>
        </w:rPr>
        <w:t xml:space="preserve">All sinks in which radioactive material is introduced by cleaning of contaminated lab ware must be clearly labeled with the radiation symbol. </w:t>
      </w:r>
    </w:p>
    <w:p w14:paraId="1F164CF3" w14:textId="77777777" w:rsidR="003F34BB" w:rsidRPr="003F34BB" w:rsidRDefault="003F34BB" w:rsidP="003F34BB">
      <w:pPr>
        <w:pStyle w:val="ListParagraph"/>
        <w:numPr>
          <w:ilvl w:val="0"/>
          <w:numId w:val="23"/>
        </w:numPr>
        <w:rPr>
          <w:rFonts w:asciiTheme="majorHAnsi" w:hAnsiTheme="majorHAnsi" w:cstheme="majorHAnsi"/>
          <w:sz w:val="24"/>
          <w:szCs w:val="24"/>
        </w:rPr>
      </w:pPr>
      <w:r w:rsidRPr="003F34BB">
        <w:rPr>
          <w:rFonts w:asciiTheme="majorHAnsi" w:hAnsiTheme="majorHAnsi" w:cstheme="majorHAnsi"/>
          <w:sz w:val="24"/>
          <w:szCs w:val="24"/>
        </w:rPr>
        <w:t xml:space="preserve">Any equipment in which radioactive material is used must be clearly labeled with the radiation symbol (Centrifuges, incubators, etc.). </w:t>
      </w:r>
    </w:p>
    <w:p w14:paraId="71EF4ADD" w14:textId="77777777" w:rsidR="0041059B" w:rsidRPr="0041059B" w:rsidRDefault="0041059B" w:rsidP="0041059B">
      <w:pPr>
        <w:rPr>
          <w:rFonts w:asciiTheme="majorHAnsi" w:hAnsiTheme="majorHAnsi" w:cstheme="majorHAnsi"/>
          <w:b/>
          <w:i/>
        </w:rPr>
      </w:pPr>
      <w:bookmarkStart w:id="0" w:name="_GoBack"/>
      <w:bookmarkEnd w:id="0"/>
      <w:r w:rsidRPr="0041059B">
        <w:rPr>
          <w:rFonts w:asciiTheme="majorHAnsi" w:hAnsiTheme="majorHAnsi" w:cstheme="majorHAnsi"/>
          <w:b/>
          <w:i/>
        </w:rPr>
        <w:t>Security of Radioactive Materials</w:t>
      </w:r>
    </w:p>
    <w:p w14:paraId="0417F793" w14:textId="77777777" w:rsidR="0041059B" w:rsidRPr="0041059B" w:rsidRDefault="0041059B" w:rsidP="0041059B">
      <w:pPr>
        <w:pStyle w:val="ListParagraph"/>
        <w:numPr>
          <w:ilvl w:val="0"/>
          <w:numId w:val="24"/>
        </w:numPr>
        <w:ind w:left="720"/>
        <w:rPr>
          <w:rFonts w:asciiTheme="majorHAnsi" w:hAnsiTheme="majorHAnsi" w:cstheme="majorHAnsi"/>
          <w:sz w:val="24"/>
          <w:szCs w:val="24"/>
        </w:rPr>
      </w:pPr>
      <w:r w:rsidRPr="0041059B">
        <w:rPr>
          <w:rFonts w:asciiTheme="majorHAnsi" w:hAnsiTheme="majorHAnsi" w:cstheme="majorHAnsi"/>
          <w:sz w:val="24"/>
          <w:szCs w:val="24"/>
        </w:rPr>
        <w:t>Licensed materials in use in controlled or unrestricted areas must be under constant surveillance</w:t>
      </w:r>
    </w:p>
    <w:p w14:paraId="26817C79" w14:textId="77777777" w:rsidR="0041059B" w:rsidRPr="0041059B" w:rsidRDefault="0041059B" w:rsidP="0041059B">
      <w:pPr>
        <w:pStyle w:val="ListParagraph"/>
        <w:numPr>
          <w:ilvl w:val="0"/>
          <w:numId w:val="24"/>
        </w:numPr>
        <w:ind w:left="720"/>
        <w:rPr>
          <w:rFonts w:asciiTheme="majorHAnsi" w:hAnsiTheme="majorHAnsi" w:cstheme="majorHAnsi"/>
          <w:sz w:val="24"/>
          <w:szCs w:val="24"/>
        </w:rPr>
      </w:pPr>
      <w:r w:rsidRPr="0041059B">
        <w:rPr>
          <w:rFonts w:asciiTheme="majorHAnsi" w:hAnsiTheme="majorHAnsi" w:cstheme="majorHAnsi"/>
          <w:sz w:val="24"/>
          <w:szCs w:val="24"/>
        </w:rPr>
        <w:lastRenderedPageBreak/>
        <w:t>Licensed materials will be secured by one or more of the following methods:</w:t>
      </w:r>
    </w:p>
    <w:p w14:paraId="5090FF07" w14:textId="77777777" w:rsidR="0041059B" w:rsidRPr="0041059B" w:rsidRDefault="0041059B" w:rsidP="0041059B">
      <w:pPr>
        <w:pStyle w:val="ListParagraph"/>
        <w:numPr>
          <w:ilvl w:val="1"/>
          <w:numId w:val="22"/>
        </w:numPr>
        <w:ind w:left="1080"/>
        <w:rPr>
          <w:rFonts w:asciiTheme="majorHAnsi" w:hAnsiTheme="majorHAnsi" w:cstheme="majorHAnsi"/>
          <w:sz w:val="24"/>
          <w:szCs w:val="24"/>
        </w:rPr>
      </w:pPr>
      <w:r w:rsidRPr="0041059B">
        <w:rPr>
          <w:rFonts w:asciiTheme="majorHAnsi" w:hAnsiTheme="majorHAnsi" w:cstheme="majorHAnsi"/>
          <w:sz w:val="24"/>
          <w:szCs w:val="24"/>
        </w:rPr>
        <w:t>storing and using licensed materials only in restricted areas</w:t>
      </w:r>
    </w:p>
    <w:p w14:paraId="65949DE9" w14:textId="77777777" w:rsidR="0041059B" w:rsidRPr="0041059B" w:rsidRDefault="0041059B" w:rsidP="0041059B">
      <w:pPr>
        <w:pStyle w:val="ListParagraph"/>
        <w:numPr>
          <w:ilvl w:val="1"/>
          <w:numId w:val="22"/>
        </w:numPr>
        <w:ind w:left="1080"/>
        <w:rPr>
          <w:rFonts w:asciiTheme="majorHAnsi" w:hAnsiTheme="majorHAnsi" w:cstheme="majorHAnsi"/>
          <w:sz w:val="24"/>
          <w:szCs w:val="24"/>
        </w:rPr>
      </w:pPr>
      <w:r w:rsidRPr="0041059B">
        <w:rPr>
          <w:rFonts w:asciiTheme="majorHAnsi" w:hAnsiTheme="majorHAnsi" w:cstheme="majorHAnsi"/>
          <w:sz w:val="24"/>
          <w:szCs w:val="24"/>
        </w:rPr>
        <w:t>limiting access to an entire facility or building or portion of the building to radiation workers</w:t>
      </w:r>
    </w:p>
    <w:p w14:paraId="117AE2D7" w14:textId="77777777" w:rsidR="0041059B" w:rsidRPr="0041059B" w:rsidRDefault="0041059B" w:rsidP="0041059B">
      <w:pPr>
        <w:pStyle w:val="ListParagraph"/>
        <w:numPr>
          <w:ilvl w:val="1"/>
          <w:numId w:val="22"/>
        </w:numPr>
        <w:ind w:left="1080"/>
        <w:rPr>
          <w:rFonts w:asciiTheme="majorHAnsi" w:hAnsiTheme="majorHAnsi" w:cstheme="majorHAnsi"/>
          <w:sz w:val="24"/>
          <w:szCs w:val="24"/>
        </w:rPr>
      </w:pPr>
      <w:r w:rsidRPr="0041059B">
        <w:rPr>
          <w:rFonts w:asciiTheme="majorHAnsi" w:hAnsiTheme="majorHAnsi" w:cstheme="majorHAnsi"/>
          <w:sz w:val="24"/>
          <w:szCs w:val="24"/>
        </w:rPr>
        <w:t>providing storage areas that can be locked to prevent access to the licensed material</w:t>
      </w:r>
    </w:p>
    <w:p w14:paraId="325D1ADD" w14:textId="77777777" w:rsidR="0041059B" w:rsidRPr="0041059B" w:rsidRDefault="0041059B" w:rsidP="0041059B">
      <w:pPr>
        <w:pStyle w:val="ListParagraph"/>
        <w:numPr>
          <w:ilvl w:val="1"/>
          <w:numId w:val="22"/>
        </w:numPr>
        <w:ind w:left="1080"/>
        <w:rPr>
          <w:rFonts w:asciiTheme="majorHAnsi" w:hAnsiTheme="majorHAnsi" w:cstheme="majorHAnsi"/>
          <w:sz w:val="24"/>
          <w:szCs w:val="24"/>
        </w:rPr>
      </w:pPr>
      <w:r w:rsidRPr="0041059B">
        <w:rPr>
          <w:rFonts w:asciiTheme="majorHAnsi" w:hAnsiTheme="majorHAnsi" w:cstheme="majorHAnsi"/>
          <w:sz w:val="24"/>
          <w:szCs w:val="24"/>
        </w:rPr>
        <w:t>implementing procedures that require a radiation worker to be within “line of sight” of the materials whenever licensed materials are in use</w:t>
      </w:r>
    </w:p>
    <w:p w14:paraId="38DC5213" w14:textId="77777777" w:rsidR="0041059B" w:rsidRPr="0041059B" w:rsidRDefault="0041059B" w:rsidP="0041059B">
      <w:pPr>
        <w:rPr>
          <w:rFonts w:asciiTheme="majorHAnsi" w:hAnsiTheme="majorHAnsi" w:cstheme="majorHAnsi"/>
          <w:b/>
          <w:i/>
        </w:rPr>
      </w:pPr>
      <w:r w:rsidRPr="0041059B">
        <w:rPr>
          <w:rFonts w:asciiTheme="majorHAnsi" w:hAnsiTheme="majorHAnsi" w:cstheme="majorHAnsi"/>
          <w:b/>
          <w:i/>
        </w:rPr>
        <w:t>General Safety Procedure to Handle Spills</w:t>
      </w:r>
    </w:p>
    <w:p w14:paraId="774568CF" w14:textId="7D70914C" w:rsidR="0041059B" w:rsidRPr="0041059B" w:rsidRDefault="0041059B" w:rsidP="0041059B">
      <w:pPr>
        <w:pStyle w:val="ListParagraph"/>
        <w:numPr>
          <w:ilvl w:val="0"/>
          <w:numId w:val="25"/>
        </w:numPr>
        <w:rPr>
          <w:rFonts w:asciiTheme="majorHAnsi" w:hAnsiTheme="majorHAnsi" w:cstheme="majorHAnsi"/>
          <w:sz w:val="24"/>
          <w:szCs w:val="24"/>
        </w:rPr>
      </w:pPr>
      <w:r w:rsidRPr="0041059B">
        <w:rPr>
          <w:rFonts w:asciiTheme="majorHAnsi" w:hAnsiTheme="majorHAnsi" w:cstheme="majorHAnsi"/>
          <w:sz w:val="24"/>
          <w:szCs w:val="24"/>
        </w:rPr>
        <w:t xml:space="preserve">Name and telephone number of RSO or an alternate person(s) </w:t>
      </w:r>
      <w:r w:rsidR="001C6892">
        <w:rPr>
          <w:rFonts w:asciiTheme="majorHAnsi" w:hAnsiTheme="majorHAnsi" w:cstheme="majorHAnsi"/>
          <w:sz w:val="24"/>
          <w:szCs w:val="24"/>
        </w:rPr>
        <w:t>is located on the laboratory entrance sign</w:t>
      </w:r>
      <w:r w:rsidRPr="0041059B">
        <w:rPr>
          <w:rFonts w:asciiTheme="majorHAnsi" w:hAnsiTheme="majorHAnsi" w:cstheme="majorHAnsi"/>
          <w:sz w:val="24"/>
          <w:szCs w:val="24"/>
        </w:rPr>
        <w:t xml:space="preserve">. </w:t>
      </w:r>
      <w:r w:rsidR="001C6892">
        <w:rPr>
          <w:rFonts w:asciiTheme="majorHAnsi" w:hAnsiTheme="majorHAnsi" w:cstheme="majorHAnsi"/>
          <w:sz w:val="24"/>
          <w:szCs w:val="24"/>
        </w:rPr>
        <w:t>E</w:t>
      </w:r>
      <w:r w:rsidRPr="0041059B">
        <w:rPr>
          <w:rFonts w:asciiTheme="majorHAnsi" w:hAnsiTheme="majorHAnsi" w:cstheme="majorHAnsi"/>
          <w:sz w:val="24"/>
          <w:szCs w:val="24"/>
        </w:rPr>
        <w:t xml:space="preserve">mergency equipment </w:t>
      </w:r>
      <w:r w:rsidR="001C6892">
        <w:rPr>
          <w:rFonts w:asciiTheme="majorHAnsi" w:hAnsiTheme="majorHAnsi" w:cstheme="majorHAnsi"/>
          <w:sz w:val="24"/>
          <w:szCs w:val="24"/>
        </w:rPr>
        <w:t xml:space="preserve">should be </w:t>
      </w:r>
      <w:r w:rsidRPr="0041059B">
        <w:rPr>
          <w:rFonts w:asciiTheme="majorHAnsi" w:hAnsiTheme="majorHAnsi" w:cstheme="majorHAnsi"/>
          <w:sz w:val="24"/>
          <w:szCs w:val="24"/>
        </w:rPr>
        <w:t xml:space="preserve">readily available for handling spills. </w:t>
      </w:r>
    </w:p>
    <w:p w14:paraId="3CD2B919" w14:textId="77777777" w:rsidR="0041059B" w:rsidRPr="0041059B" w:rsidRDefault="0041059B" w:rsidP="0041059B">
      <w:pPr>
        <w:rPr>
          <w:rFonts w:asciiTheme="majorHAnsi" w:hAnsiTheme="majorHAnsi" w:cstheme="majorHAnsi"/>
          <w:b/>
          <w:i/>
        </w:rPr>
      </w:pPr>
      <w:r w:rsidRPr="0041059B">
        <w:rPr>
          <w:rFonts w:asciiTheme="majorHAnsi" w:hAnsiTheme="majorHAnsi" w:cstheme="majorHAnsi"/>
          <w:b/>
          <w:i/>
        </w:rPr>
        <w:t>Spill Classification</w:t>
      </w:r>
    </w:p>
    <w:tbl>
      <w:tblPr>
        <w:tblStyle w:val="TableGrid"/>
        <w:tblW w:w="0" w:type="auto"/>
        <w:tblLook w:val="04A0" w:firstRow="1" w:lastRow="0" w:firstColumn="1" w:lastColumn="0" w:noHBand="0" w:noVBand="1"/>
      </w:tblPr>
      <w:tblGrid>
        <w:gridCol w:w="1240"/>
        <w:gridCol w:w="1733"/>
        <w:gridCol w:w="1691"/>
        <w:gridCol w:w="1623"/>
        <w:gridCol w:w="1623"/>
      </w:tblGrid>
      <w:tr w:rsidR="0041059B" w:rsidRPr="0041059B" w14:paraId="5B2AD371" w14:textId="77777777" w:rsidTr="00B1040F">
        <w:tc>
          <w:tcPr>
            <w:tcW w:w="1255" w:type="dxa"/>
            <w:shd w:val="clear" w:color="auto" w:fill="F2F2F2" w:themeFill="background1" w:themeFillShade="F2"/>
          </w:tcPr>
          <w:p w14:paraId="7B13BD22" w14:textId="77777777" w:rsidR="0041059B" w:rsidRPr="0041059B" w:rsidRDefault="0041059B" w:rsidP="00B1040F">
            <w:pPr>
              <w:spacing w:after="160" w:line="259" w:lineRule="auto"/>
              <w:jc w:val="center"/>
              <w:rPr>
                <w:rFonts w:asciiTheme="majorHAnsi" w:hAnsiTheme="majorHAnsi" w:cstheme="majorHAnsi"/>
                <w:b/>
              </w:rPr>
            </w:pPr>
          </w:p>
          <w:p w14:paraId="3F4BC560" w14:textId="77777777" w:rsidR="0041059B" w:rsidRPr="0041059B" w:rsidRDefault="0041059B" w:rsidP="00B1040F">
            <w:pPr>
              <w:spacing w:after="160" w:line="259" w:lineRule="auto"/>
              <w:jc w:val="center"/>
              <w:rPr>
                <w:rFonts w:asciiTheme="majorHAnsi" w:hAnsiTheme="majorHAnsi" w:cstheme="majorHAnsi"/>
                <w:b/>
              </w:rPr>
            </w:pPr>
            <w:r w:rsidRPr="0041059B">
              <w:rPr>
                <w:rFonts w:asciiTheme="majorHAnsi" w:hAnsiTheme="majorHAnsi" w:cstheme="majorHAnsi"/>
                <w:b/>
              </w:rPr>
              <w:t>Group</w:t>
            </w:r>
          </w:p>
        </w:tc>
        <w:tc>
          <w:tcPr>
            <w:tcW w:w="2250" w:type="dxa"/>
            <w:shd w:val="clear" w:color="auto" w:fill="F2F2F2" w:themeFill="background1" w:themeFillShade="F2"/>
          </w:tcPr>
          <w:p w14:paraId="58DFCFD0" w14:textId="77777777" w:rsidR="0041059B" w:rsidRPr="0041059B" w:rsidRDefault="0041059B" w:rsidP="00B1040F">
            <w:pPr>
              <w:spacing w:after="160" w:line="259" w:lineRule="auto"/>
              <w:jc w:val="center"/>
              <w:rPr>
                <w:rFonts w:asciiTheme="majorHAnsi" w:hAnsiTheme="majorHAnsi" w:cstheme="majorHAnsi"/>
              </w:rPr>
            </w:pPr>
            <w:r w:rsidRPr="0041059B">
              <w:rPr>
                <w:rFonts w:asciiTheme="majorHAnsi" w:hAnsiTheme="majorHAnsi" w:cstheme="majorHAnsi"/>
                <w:b/>
                <w:i/>
              </w:rPr>
              <w:t>1: Very High Radiotoxicity</w:t>
            </w:r>
          </w:p>
        </w:tc>
        <w:tc>
          <w:tcPr>
            <w:tcW w:w="2105" w:type="dxa"/>
            <w:shd w:val="clear" w:color="auto" w:fill="F2F2F2" w:themeFill="background1" w:themeFillShade="F2"/>
          </w:tcPr>
          <w:p w14:paraId="1D343389" w14:textId="77777777" w:rsidR="0041059B" w:rsidRPr="0041059B" w:rsidRDefault="0041059B" w:rsidP="00B1040F">
            <w:pPr>
              <w:spacing w:after="160" w:line="259" w:lineRule="auto"/>
              <w:jc w:val="center"/>
              <w:rPr>
                <w:rFonts w:asciiTheme="majorHAnsi" w:hAnsiTheme="majorHAnsi" w:cstheme="majorHAnsi"/>
                <w:b/>
                <w:i/>
              </w:rPr>
            </w:pPr>
            <w:r w:rsidRPr="0041059B">
              <w:rPr>
                <w:rFonts w:asciiTheme="majorHAnsi" w:hAnsiTheme="majorHAnsi" w:cstheme="majorHAnsi"/>
                <w:b/>
                <w:i/>
              </w:rPr>
              <w:t>2: High Radiotoxicity</w:t>
            </w:r>
          </w:p>
          <w:p w14:paraId="76A9C17E" w14:textId="77777777" w:rsidR="0041059B" w:rsidRPr="0041059B" w:rsidRDefault="0041059B" w:rsidP="00B1040F">
            <w:pPr>
              <w:spacing w:after="160" w:line="259" w:lineRule="auto"/>
              <w:jc w:val="center"/>
              <w:rPr>
                <w:rFonts w:asciiTheme="majorHAnsi" w:hAnsiTheme="majorHAnsi" w:cstheme="majorHAnsi"/>
              </w:rPr>
            </w:pPr>
          </w:p>
        </w:tc>
        <w:tc>
          <w:tcPr>
            <w:tcW w:w="1870" w:type="dxa"/>
            <w:shd w:val="clear" w:color="auto" w:fill="F2F2F2" w:themeFill="background1" w:themeFillShade="F2"/>
          </w:tcPr>
          <w:p w14:paraId="6970FDDA" w14:textId="77777777" w:rsidR="0041059B" w:rsidRPr="0041059B" w:rsidRDefault="0041059B" w:rsidP="00B1040F">
            <w:pPr>
              <w:spacing w:after="160" w:line="259" w:lineRule="auto"/>
              <w:jc w:val="center"/>
              <w:rPr>
                <w:rFonts w:asciiTheme="majorHAnsi" w:hAnsiTheme="majorHAnsi" w:cstheme="majorHAnsi"/>
              </w:rPr>
            </w:pPr>
            <w:r w:rsidRPr="0041059B">
              <w:rPr>
                <w:rFonts w:asciiTheme="majorHAnsi" w:hAnsiTheme="majorHAnsi" w:cstheme="majorHAnsi"/>
                <w:b/>
                <w:i/>
              </w:rPr>
              <w:t>3: Moderate Radiotoxicity</w:t>
            </w:r>
          </w:p>
        </w:tc>
        <w:tc>
          <w:tcPr>
            <w:tcW w:w="1870" w:type="dxa"/>
            <w:shd w:val="clear" w:color="auto" w:fill="F2F2F2" w:themeFill="background1" w:themeFillShade="F2"/>
          </w:tcPr>
          <w:p w14:paraId="2EC7706F" w14:textId="77777777" w:rsidR="0041059B" w:rsidRPr="0041059B" w:rsidRDefault="0041059B" w:rsidP="00B1040F">
            <w:pPr>
              <w:spacing w:after="160" w:line="259" w:lineRule="auto"/>
              <w:jc w:val="center"/>
              <w:rPr>
                <w:rFonts w:asciiTheme="majorHAnsi" w:hAnsiTheme="majorHAnsi" w:cstheme="majorHAnsi"/>
                <w:b/>
                <w:i/>
              </w:rPr>
            </w:pPr>
            <w:r w:rsidRPr="0041059B">
              <w:rPr>
                <w:rFonts w:asciiTheme="majorHAnsi" w:hAnsiTheme="majorHAnsi" w:cstheme="majorHAnsi"/>
                <w:b/>
                <w:i/>
              </w:rPr>
              <w:t>4: Low Radiotoxicity</w:t>
            </w:r>
          </w:p>
          <w:p w14:paraId="34311CCE" w14:textId="77777777" w:rsidR="0041059B" w:rsidRPr="0041059B" w:rsidRDefault="0041059B" w:rsidP="00B1040F">
            <w:pPr>
              <w:spacing w:after="160" w:line="259" w:lineRule="auto"/>
              <w:jc w:val="center"/>
              <w:rPr>
                <w:rFonts w:asciiTheme="majorHAnsi" w:hAnsiTheme="majorHAnsi" w:cstheme="majorHAnsi"/>
              </w:rPr>
            </w:pPr>
          </w:p>
        </w:tc>
      </w:tr>
      <w:tr w:rsidR="0041059B" w:rsidRPr="0041059B" w14:paraId="043430CA" w14:textId="77777777" w:rsidTr="00B1040F">
        <w:trPr>
          <w:trHeight w:val="359"/>
        </w:trPr>
        <w:tc>
          <w:tcPr>
            <w:tcW w:w="1255" w:type="dxa"/>
            <w:shd w:val="clear" w:color="auto" w:fill="F2F2F2" w:themeFill="background1" w:themeFillShade="F2"/>
            <w:vAlign w:val="center"/>
          </w:tcPr>
          <w:p w14:paraId="14FE7044" w14:textId="77777777" w:rsidR="0041059B" w:rsidRPr="0041059B" w:rsidRDefault="0041059B" w:rsidP="00B1040F">
            <w:pPr>
              <w:spacing w:after="160" w:line="259" w:lineRule="auto"/>
              <w:jc w:val="center"/>
              <w:rPr>
                <w:rFonts w:asciiTheme="majorHAnsi" w:hAnsiTheme="majorHAnsi" w:cstheme="majorHAnsi"/>
                <w:b/>
              </w:rPr>
            </w:pPr>
            <w:r w:rsidRPr="0041059B">
              <w:rPr>
                <w:rFonts w:asciiTheme="majorHAnsi" w:hAnsiTheme="majorHAnsi" w:cstheme="majorHAnsi"/>
                <w:b/>
              </w:rPr>
              <w:t>Isotope</w:t>
            </w:r>
          </w:p>
        </w:tc>
        <w:tc>
          <w:tcPr>
            <w:tcW w:w="2250" w:type="dxa"/>
            <w:shd w:val="clear" w:color="auto" w:fill="auto"/>
            <w:vAlign w:val="center"/>
          </w:tcPr>
          <w:p w14:paraId="0025AEDC" w14:textId="77777777" w:rsidR="0041059B" w:rsidRPr="0041059B" w:rsidRDefault="0041059B" w:rsidP="00B1040F">
            <w:pPr>
              <w:spacing w:after="160" w:line="259" w:lineRule="auto"/>
              <w:jc w:val="center"/>
              <w:rPr>
                <w:rFonts w:asciiTheme="majorHAnsi" w:hAnsiTheme="majorHAnsi" w:cstheme="majorHAnsi"/>
              </w:rPr>
            </w:pPr>
            <w:r w:rsidRPr="0041059B">
              <w:rPr>
                <w:rFonts w:asciiTheme="majorHAnsi" w:hAnsiTheme="majorHAnsi" w:cstheme="majorHAnsi"/>
                <w:vertAlign w:val="superscript"/>
              </w:rPr>
              <w:t>226</w:t>
            </w:r>
            <w:r w:rsidRPr="0041059B">
              <w:rPr>
                <w:rFonts w:asciiTheme="majorHAnsi" w:hAnsiTheme="majorHAnsi" w:cstheme="majorHAnsi"/>
              </w:rPr>
              <w:t xml:space="preserve">Ra, </w:t>
            </w:r>
            <w:r w:rsidRPr="0041059B">
              <w:rPr>
                <w:rFonts w:asciiTheme="majorHAnsi" w:hAnsiTheme="majorHAnsi" w:cstheme="majorHAnsi"/>
                <w:vertAlign w:val="superscript"/>
              </w:rPr>
              <w:t>241</w:t>
            </w:r>
            <w:r w:rsidRPr="0041059B">
              <w:rPr>
                <w:rFonts w:asciiTheme="majorHAnsi" w:hAnsiTheme="majorHAnsi" w:cstheme="majorHAnsi"/>
              </w:rPr>
              <w:t>Am,</w:t>
            </w:r>
            <w:r w:rsidRPr="0041059B">
              <w:rPr>
                <w:rFonts w:asciiTheme="majorHAnsi" w:hAnsiTheme="majorHAnsi" w:cstheme="majorHAnsi"/>
                <w:vertAlign w:val="superscript"/>
              </w:rPr>
              <w:t xml:space="preserve"> 229</w:t>
            </w:r>
            <w:r w:rsidRPr="0041059B">
              <w:rPr>
                <w:rFonts w:asciiTheme="majorHAnsi" w:hAnsiTheme="majorHAnsi" w:cstheme="majorHAnsi"/>
              </w:rPr>
              <w:t>Th, …</w:t>
            </w:r>
          </w:p>
        </w:tc>
        <w:tc>
          <w:tcPr>
            <w:tcW w:w="2105" w:type="dxa"/>
            <w:shd w:val="clear" w:color="auto" w:fill="auto"/>
            <w:vAlign w:val="center"/>
          </w:tcPr>
          <w:p w14:paraId="40B1CC58" w14:textId="77777777" w:rsidR="0041059B" w:rsidRPr="0041059B" w:rsidRDefault="0041059B" w:rsidP="00B1040F">
            <w:pPr>
              <w:spacing w:after="160" w:line="259" w:lineRule="auto"/>
              <w:jc w:val="center"/>
              <w:rPr>
                <w:rFonts w:asciiTheme="majorHAnsi" w:hAnsiTheme="majorHAnsi" w:cstheme="majorHAnsi"/>
              </w:rPr>
            </w:pPr>
            <w:r w:rsidRPr="0041059B">
              <w:rPr>
                <w:rFonts w:asciiTheme="majorHAnsi" w:hAnsiTheme="majorHAnsi" w:cstheme="majorHAnsi"/>
                <w:vertAlign w:val="superscript"/>
              </w:rPr>
              <w:t>236</w:t>
            </w:r>
            <w:r w:rsidRPr="0041059B">
              <w:rPr>
                <w:rFonts w:asciiTheme="majorHAnsi" w:hAnsiTheme="majorHAnsi" w:cstheme="majorHAnsi"/>
              </w:rPr>
              <w:t xml:space="preserve">U, </w:t>
            </w:r>
            <w:r w:rsidRPr="0041059B">
              <w:rPr>
                <w:rFonts w:asciiTheme="majorHAnsi" w:hAnsiTheme="majorHAnsi" w:cstheme="majorHAnsi"/>
                <w:vertAlign w:val="superscript"/>
              </w:rPr>
              <w:t>125</w:t>
            </w:r>
            <w:r w:rsidRPr="0041059B">
              <w:rPr>
                <w:rFonts w:asciiTheme="majorHAnsi" w:hAnsiTheme="majorHAnsi" w:cstheme="majorHAnsi"/>
              </w:rPr>
              <w:t>I,</w:t>
            </w:r>
            <w:r w:rsidRPr="0041059B">
              <w:rPr>
                <w:rFonts w:asciiTheme="majorHAnsi" w:hAnsiTheme="majorHAnsi" w:cstheme="majorHAnsi"/>
                <w:vertAlign w:val="superscript"/>
              </w:rPr>
              <w:t xml:space="preserve"> 137</w:t>
            </w:r>
            <w:r w:rsidRPr="0041059B">
              <w:rPr>
                <w:rFonts w:asciiTheme="majorHAnsi" w:hAnsiTheme="majorHAnsi" w:cstheme="majorHAnsi"/>
              </w:rPr>
              <w:t>Cs , …</w:t>
            </w:r>
          </w:p>
        </w:tc>
        <w:tc>
          <w:tcPr>
            <w:tcW w:w="1870" w:type="dxa"/>
            <w:shd w:val="clear" w:color="auto" w:fill="auto"/>
            <w:vAlign w:val="center"/>
          </w:tcPr>
          <w:p w14:paraId="7FF91C11" w14:textId="77777777" w:rsidR="0041059B" w:rsidRPr="0041059B" w:rsidRDefault="0041059B" w:rsidP="00B1040F">
            <w:pPr>
              <w:spacing w:after="160" w:line="259" w:lineRule="auto"/>
              <w:jc w:val="center"/>
              <w:rPr>
                <w:rFonts w:asciiTheme="majorHAnsi" w:hAnsiTheme="majorHAnsi" w:cstheme="majorHAnsi"/>
              </w:rPr>
            </w:pPr>
            <w:r w:rsidRPr="0041059B">
              <w:rPr>
                <w:rFonts w:asciiTheme="majorHAnsi" w:hAnsiTheme="majorHAnsi" w:cstheme="majorHAnsi"/>
                <w:vertAlign w:val="superscript"/>
              </w:rPr>
              <w:t>14</w:t>
            </w:r>
            <w:r w:rsidRPr="0041059B">
              <w:rPr>
                <w:rFonts w:asciiTheme="majorHAnsi" w:hAnsiTheme="majorHAnsi" w:cstheme="majorHAnsi"/>
              </w:rPr>
              <w:t xml:space="preserve">C, </w:t>
            </w:r>
            <w:r w:rsidRPr="0041059B">
              <w:rPr>
                <w:rFonts w:asciiTheme="majorHAnsi" w:hAnsiTheme="majorHAnsi" w:cstheme="majorHAnsi"/>
                <w:vertAlign w:val="superscript"/>
              </w:rPr>
              <w:t>32</w:t>
            </w:r>
            <w:r w:rsidRPr="0041059B">
              <w:rPr>
                <w:rFonts w:asciiTheme="majorHAnsi" w:hAnsiTheme="majorHAnsi" w:cstheme="majorHAnsi"/>
              </w:rPr>
              <w:t>P …</w:t>
            </w:r>
          </w:p>
        </w:tc>
        <w:tc>
          <w:tcPr>
            <w:tcW w:w="1870" w:type="dxa"/>
            <w:shd w:val="clear" w:color="auto" w:fill="auto"/>
            <w:vAlign w:val="center"/>
          </w:tcPr>
          <w:p w14:paraId="12B6A713" w14:textId="77777777" w:rsidR="0041059B" w:rsidRPr="0041059B" w:rsidRDefault="0041059B" w:rsidP="00B1040F">
            <w:pPr>
              <w:spacing w:after="160" w:line="259" w:lineRule="auto"/>
              <w:jc w:val="center"/>
              <w:rPr>
                <w:rFonts w:asciiTheme="majorHAnsi" w:hAnsiTheme="majorHAnsi" w:cstheme="majorHAnsi"/>
              </w:rPr>
            </w:pPr>
            <w:r w:rsidRPr="0041059B">
              <w:rPr>
                <w:rFonts w:asciiTheme="majorHAnsi" w:hAnsiTheme="majorHAnsi" w:cstheme="majorHAnsi"/>
                <w:vertAlign w:val="superscript"/>
              </w:rPr>
              <w:t>3</w:t>
            </w:r>
            <w:r w:rsidRPr="0041059B">
              <w:rPr>
                <w:rFonts w:asciiTheme="majorHAnsi" w:hAnsiTheme="majorHAnsi" w:cstheme="majorHAnsi"/>
              </w:rPr>
              <w:t xml:space="preserve">H, </w:t>
            </w:r>
            <w:proofErr w:type="spellStart"/>
            <w:r w:rsidRPr="0041059B">
              <w:rPr>
                <w:rFonts w:asciiTheme="majorHAnsi" w:hAnsiTheme="majorHAnsi" w:cstheme="majorHAnsi"/>
                <w:vertAlign w:val="superscript"/>
              </w:rPr>
              <w:t>Nat</w:t>
            </w:r>
            <w:r w:rsidRPr="0041059B">
              <w:rPr>
                <w:rFonts w:asciiTheme="majorHAnsi" w:hAnsiTheme="majorHAnsi" w:cstheme="majorHAnsi"/>
              </w:rPr>
              <w:t>U</w:t>
            </w:r>
            <w:proofErr w:type="spellEnd"/>
            <w:r w:rsidRPr="0041059B">
              <w:rPr>
                <w:rFonts w:asciiTheme="majorHAnsi" w:hAnsiTheme="majorHAnsi" w:cstheme="majorHAnsi"/>
              </w:rPr>
              <w:t>,</w:t>
            </w:r>
            <w:r w:rsidRPr="0041059B">
              <w:rPr>
                <w:rFonts w:asciiTheme="majorHAnsi" w:hAnsiTheme="majorHAnsi" w:cstheme="majorHAnsi"/>
                <w:vertAlign w:val="superscript"/>
              </w:rPr>
              <w:t xml:space="preserve"> </w:t>
            </w:r>
            <w:proofErr w:type="spellStart"/>
            <w:proofErr w:type="gramStart"/>
            <w:r w:rsidRPr="0041059B">
              <w:rPr>
                <w:rFonts w:asciiTheme="majorHAnsi" w:hAnsiTheme="majorHAnsi" w:cstheme="majorHAnsi"/>
                <w:vertAlign w:val="superscript"/>
              </w:rPr>
              <w:t>Nat</w:t>
            </w:r>
            <w:r w:rsidRPr="0041059B">
              <w:rPr>
                <w:rFonts w:asciiTheme="majorHAnsi" w:hAnsiTheme="majorHAnsi" w:cstheme="majorHAnsi"/>
              </w:rPr>
              <w:t>Th</w:t>
            </w:r>
            <w:proofErr w:type="spellEnd"/>
            <w:r w:rsidRPr="0041059B">
              <w:rPr>
                <w:rFonts w:asciiTheme="majorHAnsi" w:hAnsiTheme="majorHAnsi" w:cstheme="majorHAnsi"/>
              </w:rPr>
              <w:t xml:space="preserve"> ,</w:t>
            </w:r>
            <w:proofErr w:type="gramEnd"/>
            <w:r w:rsidRPr="0041059B">
              <w:rPr>
                <w:rFonts w:asciiTheme="majorHAnsi" w:hAnsiTheme="majorHAnsi" w:cstheme="majorHAnsi"/>
              </w:rPr>
              <w:t>…</w:t>
            </w:r>
          </w:p>
        </w:tc>
      </w:tr>
      <w:tr w:rsidR="0041059B" w:rsidRPr="0041059B" w14:paraId="442E3347" w14:textId="77777777" w:rsidTr="00B1040F">
        <w:tc>
          <w:tcPr>
            <w:tcW w:w="1255" w:type="dxa"/>
            <w:shd w:val="clear" w:color="auto" w:fill="F2F2F2" w:themeFill="background1" w:themeFillShade="F2"/>
          </w:tcPr>
          <w:p w14:paraId="6140614A" w14:textId="77777777" w:rsidR="0041059B" w:rsidRPr="0041059B" w:rsidRDefault="0041059B" w:rsidP="00B1040F">
            <w:pPr>
              <w:spacing w:after="160" w:line="259" w:lineRule="auto"/>
              <w:jc w:val="center"/>
              <w:rPr>
                <w:rFonts w:asciiTheme="majorHAnsi" w:hAnsiTheme="majorHAnsi" w:cstheme="majorHAnsi"/>
                <w:b/>
              </w:rPr>
            </w:pPr>
            <w:r w:rsidRPr="0041059B">
              <w:rPr>
                <w:rFonts w:asciiTheme="majorHAnsi" w:hAnsiTheme="majorHAnsi" w:cstheme="majorHAnsi"/>
                <w:b/>
              </w:rPr>
              <w:t>Maximum Working Activity</w:t>
            </w:r>
          </w:p>
        </w:tc>
        <w:tc>
          <w:tcPr>
            <w:tcW w:w="2250" w:type="dxa"/>
            <w:shd w:val="clear" w:color="auto" w:fill="auto"/>
            <w:vAlign w:val="center"/>
          </w:tcPr>
          <w:p w14:paraId="7DE13EA7" w14:textId="77777777" w:rsidR="0041059B" w:rsidRPr="0041059B" w:rsidRDefault="0041059B" w:rsidP="00B1040F">
            <w:pPr>
              <w:spacing w:after="160" w:line="259" w:lineRule="auto"/>
              <w:jc w:val="center"/>
              <w:rPr>
                <w:rFonts w:asciiTheme="majorHAnsi" w:hAnsiTheme="majorHAnsi" w:cstheme="majorHAnsi"/>
              </w:rPr>
            </w:pPr>
            <w:r w:rsidRPr="0041059B">
              <w:rPr>
                <w:rFonts w:asciiTheme="majorHAnsi" w:hAnsiTheme="majorHAnsi" w:cstheme="majorHAnsi"/>
              </w:rPr>
              <w:t>10 µCi</w:t>
            </w:r>
          </w:p>
        </w:tc>
        <w:tc>
          <w:tcPr>
            <w:tcW w:w="2105" w:type="dxa"/>
            <w:shd w:val="clear" w:color="auto" w:fill="auto"/>
            <w:vAlign w:val="center"/>
          </w:tcPr>
          <w:p w14:paraId="452D86A7" w14:textId="77777777" w:rsidR="0041059B" w:rsidRPr="0041059B" w:rsidRDefault="0041059B" w:rsidP="00B1040F">
            <w:pPr>
              <w:spacing w:after="160" w:line="259" w:lineRule="auto"/>
              <w:jc w:val="center"/>
              <w:rPr>
                <w:rFonts w:asciiTheme="majorHAnsi" w:hAnsiTheme="majorHAnsi" w:cstheme="majorHAnsi"/>
                <w:vertAlign w:val="superscript"/>
              </w:rPr>
            </w:pPr>
            <w:r w:rsidRPr="0041059B">
              <w:rPr>
                <w:rFonts w:asciiTheme="majorHAnsi" w:hAnsiTheme="majorHAnsi" w:cstheme="majorHAnsi"/>
              </w:rPr>
              <w:t>100 µCi</w:t>
            </w:r>
          </w:p>
        </w:tc>
        <w:tc>
          <w:tcPr>
            <w:tcW w:w="1870" w:type="dxa"/>
            <w:shd w:val="clear" w:color="auto" w:fill="auto"/>
            <w:vAlign w:val="center"/>
          </w:tcPr>
          <w:p w14:paraId="7E93836A" w14:textId="77777777" w:rsidR="0041059B" w:rsidRPr="0041059B" w:rsidRDefault="0041059B" w:rsidP="00B1040F">
            <w:pPr>
              <w:spacing w:after="160" w:line="259" w:lineRule="auto"/>
              <w:jc w:val="center"/>
              <w:rPr>
                <w:rFonts w:asciiTheme="majorHAnsi" w:hAnsiTheme="majorHAnsi" w:cstheme="majorHAnsi"/>
                <w:vertAlign w:val="superscript"/>
              </w:rPr>
            </w:pPr>
            <w:r w:rsidRPr="0041059B">
              <w:rPr>
                <w:rFonts w:asciiTheme="majorHAnsi" w:hAnsiTheme="majorHAnsi" w:cstheme="majorHAnsi"/>
              </w:rPr>
              <w:t>1000 µCi</w:t>
            </w:r>
          </w:p>
        </w:tc>
        <w:tc>
          <w:tcPr>
            <w:tcW w:w="1870" w:type="dxa"/>
            <w:shd w:val="clear" w:color="auto" w:fill="auto"/>
            <w:vAlign w:val="center"/>
          </w:tcPr>
          <w:p w14:paraId="7C257609" w14:textId="77777777" w:rsidR="0041059B" w:rsidRPr="0041059B" w:rsidRDefault="0041059B" w:rsidP="00B1040F">
            <w:pPr>
              <w:spacing w:after="160" w:line="259" w:lineRule="auto"/>
              <w:jc w:val="center"/>
              <w:rPr>
                <w:rFonts w:asciiTheme="majorHAnsi" w:hAnsiTheme="majorHAnsi" w:cstheme="majorHAnsi"/>
                <w:vertAlign w:val="superscript"/>
              </w:rPr>
            </w:pPr>
            <w:r w:rsidRPr="0041059B">
              <w:rPr>
                <w:rFonts w:asciiTheme="majorHAnsi" w:hAnsiTheme="majorHAnsi" w:cstheme="majorHAnsi"/>
              </w:rPr>
              <w:t>10000 µCi</w:t>
            </w:r>
          </w:p>
        </w:tc>
      </w:tr>
    </w:tbl>
    <w:p w14:paraId="3B71F5F2" w14:textId="77777777" w:rsidR="0041059B" w:rsidRPr="0041059B" w:rsidRDefault="0041059B" w:rsidP="0041059B">
      <w:pPr>
        <w:rPr>
          <w:rFonts w:asciiTheme="majorHAnsi" w:hAnsiTheme="majorHAnsi" w:cstheme="majorHAnsi"/>
          <w:b/>
        </w:rPr>
      </w:pPr>
    </w:p>
    <w:p w14:paraId="1DF525E0" w14:textId="77777777" w:rsidR="0041059B" w:rsidRPr="0041059B" w:rsidRDefault="0041059B" w:rsidP="0041059B">
      <w:pPr>
        <w:pStyle w:val="ListParagraph"/>
        <w:numPr>
          <w:ilvl w:val="0"/>
          <w:numId w:val="25"/>
        </w:numPr>
        <w:rPr>
          <w:rFonts w:asciiTheme="majorHAnsi" w:hAnsiTheme="majorHAnsi" w:cstheme="majorHAnsi"/>
          <w:sz w:val="24"/>
          <w:szCs w:val="24"/>
        </w:rPr>
      </w:pPr>
      <w:r w:rsidRPr="0041059B">
        <w:rPr>
          <w:rFonts w:asciiTheme="majorHAnsi" w:hAnsiTheme="majorHAnsi" w:cstheme="majorHAnsi"/>
          <w:sz w:val="24"/>
          <w:szCs w:val="24"/>
        </w:rPr>
        <w:t xml:space="preserve">Minor spills are considered those that are non-volatile and less than or equal to 10% of the maximum working activity for the associated hazard group. </w:t>
      </w:r>
    </w:p>
    <w:p w14:paraId="60BAB77F" w14:textId="77777777" w:rsidR="0041059B" w:rsidRPr="0041059B" w:rsidRDefault="0041059B" w:rsidP="0041059B">
      <w:pPr>
        <w:pStyle w:val="ListParagraph"/>
        <w:numPr>
          <w:ilvl w:val="0"/>
          <w:numId w:val="25"/>
        </w:numPr>
        <w:rPr>
          <w:rFonts w:asciiTheme="majorHAnsi" w:hAnsiTheme="majorHAnsi" w:cstheme="majorHAnsi"/>
          <w:sz w:val="24"/>
          <w:szCs w:val="24"/>
        </w:rPr>
      </w:pPr>
      <w:r w:rsidRPr="0041059B">
        <w:rPr>
          <w:rFonts w:asciiTheme="majorHAnsi" w:hAnsiTheme="majorHAnsi" w:cstheme="majorHAnsi"/>
          <w:sz w:val="24"/>
          <w:szCs w:val="24"/>
        </w:rPr>
        <w:t xml:space="preserve">Major spills are considered those that are either volatile or greater than 10% of the maximum working activity for the associated hazard group. </w:t>
      </w:r>
    </w:p>
    <w:p w14:paraId="761E7B05" w14:textId="77777777" w:rsidR="0041059B" w:rsidRPr="0041059B" w:rsidRDefault="0041059B" w:rsidP="0041059B">
      <w:pPr>
        <w:rPr>
          <w:rFonts w:asciiTheme="majorHAnsi" w:hAnsiTheme="majorHAnsi" w:cstheme="majorHAnsi"/>
          <w:b/>
          <w:i/>
        </w:rPr>
      </w:pPr>
      <w:r w:rsidRPr="0041059B">
        <w:rPr>
          <w:rFonts w:asciiTheme="majorHAnsi" w:hAnsiTheme="majorHAnsi" w:cstheme="majorHAnsi"/>
          <w:b/>
          <w:i/>
        </w:rPr>
        <w:t>Minor Spills</w:t>
      </w:r>
    </w:p>
    <w:p w14:paraId="0A6260A3" w14:textId="77777777" w:rsidR="0041059B" w:rsidRPr="0041059B" w:rsidRDefault="0041059B" w:rsidP="0041059B">
      <w:pPr>
        <w:pStyle w:val="ListParagraph"/>
        <w:numPr>
          <w:ilvl w:val="0"/>
          <w:numId w:val="25"/>
        </w:numPr>
        <w:rPr>
          <w:rFonts w:asciiTheme="majorHAnsi" w:hAnsiTheme="majorHAnsi" w:cstheme="majorHAnsi"/>
          <w:sz w:val="24"/>
          <w:szCs w:val="24"/>
        </w:rPr>
      </w:pPr>
      <w:r w:rsidRPr="0041059B">
        <w:rPr>
          <w:rFonts w:asciiTheme="majorHAnsi" w:hAnsiTheme="majorHAnsi" w:cstheme="majorHAnsi"/>
          <w:sz w:val="24"/>
          <w:szCs w:val="24"/>
        </w:rPr>
        <w:t>Instructions to Workers</w:t>
      </w:r>
    </w:p>
    <w:p w14:paraId="7B21FD64" w14:textId="77777777" w:rsidR="0041059B" w:rsidRPr="0041059B" w:rsidRDefault="0041059B" w:rsidP="0041059B">
      <w:pPr>
        <w:pStyle w:val="ListParagraph"/>
        <w:numPr>
          <w:ilvl w:val="1"/>
          <w:numId w:val="22"/>
        </w:numPr>
        <w:ind w:left="1080"/>
        <w:rPr>
          <w:rFonts w:asciiTheme="majorHAnsi" w:hAnsiTheme="majorHAnsi" w:cstheme="majorHAnsi"/>
          <w:sz w:val="24"/>
          <w:szCs w:val="24"/>
        </w:rPr>
      </w:pPr>
      <w:r w:rsidRPr="0041059B">
        <w:rPr>
          <w:rFonts w:asciiTheme="majorHAnsi" w:hAnsiTheme="majorHAnsi" w:cstheme="majorHAnsi"/>
          <w:sz w:val="24"/>
          <w:szCs w:val="24"/>
        </w:rPr>
        <w:t>Notify persons in the area that a spill has occurred.</w:t>
      </w:r>
    </w:p>
    <w:p w14:paraId="6202DDA9" w14:textId="77777777" w:rsidR="0041059B" w:rsidRPr="0041059B" w:rsidRDefault="0041059B" w:rsidP="0041059B">
      <w:pPr>
        <w:pStyle w:val="ListParagraph"/>
        <w:numPr>
          <w:ilvl w:val="1"/>
          <w:numId w:val="22"/>
        </w:numPr>
        <w:ind w:left="1080"/>
        <w:rPr>
          <w:rFonts w:asciiTheme="majorHAnsi" w:hAnsiTheme="majorHAnsi" w:cstheme="majorHAnsi"/>
          <w:sz w:val="24"/>
          <w:szCs w:val="24"/>
        </w:rPr>
      </w:pPr>
      <w:r w:rsidRPr="0041059B">
        <w:rPr>
          <w:rFonts w:asciiTheme="majorHAnsi" w:hAnsiTheme="majorHAnsi" w:cstheme="majorHAnsi"/>
          <w:sz w:val="24"/>
          <w:szCs w:val="24"/>
        </w:rPr>
        <w:t>Prevent the spread of contamination by covering the spill with absorbent paper. (Paper should be dampened if solids are spilled.)</w:t>
      </w:r>
    </w:p>
    <w:p w14:paraId="22FE91CF" w14:textId="77777777" w:rsidR="0041059B" w:rsidRPr="0041059B" w:rsidRDefault="0041059B" w:rsidP="0041059B">
      <w:pPr>
        <w:pStyle w:val="ListParagraph"/>
        <w:numPr>
          <w:ilvl w:val="1"/>
          <w:numId w:val="22"/>
        </w:numPr>
        <w:ind w:left="1080"/>
        <w:rPr>
          <w:rFonts w:asciiTheme="majorHAnsi" w:hAnsiTheme="majorHAnsi" w:cstheme="majorHAnsi"/>
          <w:sz w:val="24"/>
          <w:szCs w:val="24"/>
        </w:rPr>
      </w:pPr>
      <w:r w:rsidRPr="0041059B">
        <w:rPr>
          <w:rFonts w:asciiTheme="majorHAnsi" w:hAnsiTheme="majorHAnsi" w:cstheme="majorHAnsi"/>
          <w:sz w:val="24"/>
          <w:szCs w:val="24"/>
        </w:rPr>
        <w:t>Clean up the spill, wearing disposable gloves and using absorbent paper.</w:t>
      </w:r>
    </w:p>
    <w:p w14:paraId="1B2C7DE1" w14:textId="77777777" w:rsidR="0041059B" w:rsidRPr="0041059B" w:rsidRDefault="0041059B" w:rsidP="0041059B">
      <w:pPr>
        <w:pStyle w:val="ListParagraph"/>
        <w:numPr>
          <w:ilvl w:val="1"/>
          <w:numId w:val="22"/>
        </w:numPr>
        <w:ind w:left="1080"/>
        <w:rPr>
          <w:rFonts w:asciiTheme="majorHAnsi" w:hAnsiTheme="majorHAnsi" w:cstheme="majorHAnsi"/>
          <w:sz w:val="24"/>
          <w:szCs w:val="24"/>
        </w:rPr>
      </w:pPr>
      <w:r w:rsidRPr="0041059B">
        <w:rPr>
          <w:rFonts w:asciiTheme="majorHAnsi" w:hAnsiTheme="majorHAnsi" w:cstheme="majorHAnsi"/>
          <w:sz w:val="24"/>
          <w:szCs w:val="24"/>
        </w:rPr>
        <w:t xml:space="preserve">Carefully fold the absorbent paper with the clean side out and place in a plastic bag for transfer to a radioactive waste container. Put </w:t>
      </w:r>
      <w:r w:rsidRPr="0041059B">
        <w:rPr>
          <w:rFonts w:asciiTheme="majorHAnsi" w:hAnsiTheme="majorHAnsi" w:cstheme="majorHAnsi"/>
          <w:sz w:val="24"/>
          <w:szCs w:val="24"/>
        </w:rPr>
        <w:lastRenderedPageBreak/>
        <w:t>contaminated gloves and any other contaminated disposable material in the bag.</w:t>
      </w:r>
    </w:p>
    <w:p w14:paraId="14E5E5C0" w14:textId="77777777" w:rsidR="0041059B" w:rsidRPr="0041059B" w:rsidRDefault="0041059B" w:rsidP="0041059B">
      <w:pPr>
        <w:pStyle w:val="ListParagraph"/>
        <w:numPr>
          <w:ilvl w:val="1"/>
          <w:numId w:val="22"/>
        </w:numPr>
        <w:ind w:left="1080"/>
        <w:rPr>
          <w:rFonts w:asciiTheme="majorHAnsi" w:hAnsiTheme="majorHAnsi" w:cstheme="majorHAnsi"/>
          <w:sz w:val="24"/>
          <w:szCs w:val="24"/>
        </w:rPr>
      </w:pPr>
      <w:r w:rsidRPr="0041059B">
        <w:rPr>
          <w:rFonts w:asciiTheme="majorHAnsi" w:hAnsiTheme="majorHAnsi" w:cstheme="majorHAnsi"/>
          <w:sz w:val="24"/>
          <w:szCs w:val="24"/>
        </w:rPr>
        <w:t>Survey the area with an appropriate low-range radiation survey meter or other appropriate technique. Check the area around the spill for contamination. Also check hands, clothing, and shoes for contamination.</w:t>
      </w:r>
    </w:p>
    <w:p w14:paraId="52ABB564" w14:textId="77777777" w:rsidR="0041059B" w:rsidRPr="0041059B" w:rsidRDefault="0041059B" w:rsidP="0041059B">
      <w:pPr>
        <w:pStyle w:val="ListParagraph"/>
        <w:numPr>
          <w:ilvl w:val="1"/>
          <w:numId w:val="22"/>
        </w:numPr>
        <w:ind w:left="1080"/>
        <w:rPr>
          <w:rFonts w:asciiTheme="majorHAnsi" w:hAnsiTheme="majorHAnsi" w:cstheme="majorHAnsi"/>
          <w:sz w:val="24"/>
          <w:szCs w:val="24"/>
        </w:rPr>
      </w:pPr>
      <w:r w:rsidRPr="0041059B">
        <w:rPr>
          <w:rFonts w:asciiTheme="majorHAnsi" w:hAnsiTheme="majorHAnsi" w:cstheme="majorHAnsi"/>
          <w:sz w:val="24"/>
          <w:szCs w:val="24"/>
        </w:rPr>
        <w:t xml:space="preserve">Record the incident and corrective actions taken on the inventory, usage and waste spreadsheet. </w:t>
      </w:r>
    </w:p>
    <w:p w14:paraId="205A917A" w14:textId="77777777" w:rsidR="0041059B" w:rsidRPr="0041059B" w:rsidRDefault="0041059B" w:rsidP="0041059B">
      <w:pPr>
        <w:pStyle w:val="ListParagraph"/>
        <w:numPr>
          <w:ilvl w:val="1"/>
          <w:numId w:val="22"/>
        </w:numPr>
        <w:ind w:left="1080"/>
        <w:rPr>
          <w:rFonts w:asciiTheme="majorHAnsi" w:hAnsiTheme="majorHAnsi" w:cstheme="majorHAnsi"/>
          <w:sz w:val="24"/>
          <w:szCs w:val="24"/>
        </w:rPr>
      </w:pPr>
      <w:r w:rsidRPr="0041059B">
        <w:rPr>
          <w:rFonts w:asciiTheme="majorHAnsi" w:hAnsiTheme="majorHAnsi" w:cstheme="majorHAnsi"/>
          <w:sz w:val="24"/>
          <w:szCs w:val="24"/>
        </w:rPr>
        <w:t>Notify the RSO of the incident.</w:t>
      </w:r>
    </w:p>
    <w:p w14:paraId="4D8BA81F" w14:textId="77777777" w:rsidR="0041059B" w:rsidRPr="0041059B" w:rsidRDefault="0041059B" w:rsidP="0041059B">
      <w:pPr>
        <w:pStyle w:val="ListParagraph"/>
        <w:numPr>
          <w:ilvl w:val="0"/>
          <w:numId w:val="25"/>
        </w:numPr>
        <w:rPr>
          <w:rFonts w:asciiTheme="majorHAnsi" w:hAnsiTheme="majorHAnsi" w:cstheme="majorHAnsi"/>
          <w:sz w:val="24"/>
          <w:szCs w:val="24"/>
        </w:rPr>
      </w:pPr>
      <w:r w:rsidRPr="0041059B">
        <w:rPr>
          <w:rFonts w:asciiTheme="majorHAnsi" w:hAnsiTheme="majorHAnsi" w:cstheme="majorHAnsi"/>
          <w:sz w:val="24"/>
          <w:szCs w:val="24"/>
        </w:rPr>
        <w:t>Reminders to RSO</w:t>
      </w:r>
    </w:p>
    <w:p w14:paraId="01BD8CF3" w14:textId="77777777" w:rsidR="0041059B" w:rsidRPr="0041059B" w:rsidRDefault="0041059B" w:rsidP="0041059B">
      <w:pPr>
        <w:pStyle w:val="ListParagraph"/>
        <w:numPr>
          <w:ilvl w:val="1"/>
          <w:numId w:val="22"/>
        </w:numPr>
        <w:rPr>
          <w:rFonts w:asciiTheme="majorHAnsi" w:hAnsiTheme="majorHAnsi" w:cstheme="majorHAnsi"/>
          <w:sz w:val="24"/>
          <w:szCs w:val="24"/>
        </w:rPr>
      </w:pPr>
      <w:r w:rsidRPr="0041059B">
        <w:rPr>
          <w:rFonts w:asciiTheme="majorHAnsi" w:hAnsiTheme="majorHAnsi" w:cstheme="majorHAnsi"/>
          <w:sz w:val="24"/>
          <w:szCs w:val="24"/>
        </w:rPr>
        <w:t>Follow up on the decontamination activities.</w:t>
      </w:r>
    </w:p>
    <w:p w14:paraId="5FD4F807" w14:textId="77777777" w:rsidR="0041059B" w:rsidRPr="0041059B" w:rsidRDefault="0041059B" w:rsidP="0041059B">
      <w:pPr>
        <w:pStyle w:val="ListParagraph"/>
        <w:numPr>
          <w:ilvl w:val="1"/>
          <w:numId w:val="22"/>
        </w:numPr>
        <w:rPr>
          <w:rFonts w:asciiTheme="majorHAnsi" w:hAnsiTheme="majorHAnsi" w:cstheme="majorHAnsi"/>
          <w:sz w:val="24"/>
          <w:szCs w:val="24"/>
        </w:rPr>
      </w:pPr>
      <w:r w:rsidRPr="0041059B">
        <w:rPr>
          <w:rFonts w:asciiTheme="majorHAnsi" w:hAnsiTheme="majorHAnsi" w:cstheme="majorHAnsi"/>
          <w:sz w:val="24"/>
          <w:szCs w:val="24"/>
        </w:rPr>
        <w:t>As appropriate, determine cause and corrective actions needed; consider bioassays if licensed material may have been ingested, inhaled, or absorbed through the skin.</w:t>
      </w:r>
    </w:p>
    <w:p w14:paraId="083C15C4" w14:textId="77777777" w:rsidR="0041059B" w:rsidRPr="0041059B" w:rsidRDefault="0041059B" w:rsidP="0041059B">
      <w:pPr>
        <w:pStyle w:val="ListParagraph"/>
        <w:numPr>
          <w:ilvl w:val="1"/>
          <w:numId w:val="22"/>
        </w:numPr>
        <w:rPr>
          <w:rFonts w:asciiTheme="majorHAnsi" w:hAnsiTheme="majorHAnsi" w:cstheme="majorHAnsi"/>
          <w:sz w:val="24"/>
          <w:szCs w:val="24"/>
        </w:rPr>
      </w:pPr>
      <w:r w:rsidRPr="0041059B">
        <w:rPr>
          <w:rFonts w:asciiTheme="majorHAnsi" w:hAnsiTheme="majorHAnsi" w:cstheme="majorHAnsi"/>
          <w:sz w:val="24"/>
          <w:szCs w:val="24"/>
        </w:rPr>
        <w:t>If necessary, notify the NRC.</w:t>
      </w:r>
    </w:p>
    <w:p w14:paraId="041BB5EE" w14:textId="77777777" w:rsidR="0041059B" w:rsidRPr="0041059B" w:rsidRDefault="0041059B" w:rsidP="0041059B">
      <w:pPr>
        <w:rPr>
          <w:rFonts w:asciiTheme="majorHAnsi" w:hAnsiTheme="majorHAnsi" w:cstheme="majorHAnsi"/>
          <w:b/>
          <w:i/>
        </w:rPr>
      </w:pPr>
      <w:r w:rsidRPr="0041059B">
        <w:rPr>
          <w:rFonts w:asciiTheme="majorHAnsi" w:hAnsiTheme="majorHAnsi" w:cstheme="majorHAnsi"/>
          <w:b/>
          <w:i/>
        </w:rPr>
        <w:t>Major Spills</w:t>
      </w:r>
    </w:p>
    <w:p w14:paraId="361F2801" w14:textId="77777777" w:rsidR="0041059B" w:rsidRPr="0041059B" w:rsidRDefault="0041059B" w:rsidP="0041059B">
      <w:pPr>
        <w:pStyle w:val="ListParagraph"/>
        <w:numPr>
          <w:ilvl w:val="0"/>
          <w:numId w:val="25"/>
        </w:numPr>
        <w:rPr>
          <w:rFonts w:asciiTheme="majorHAnsi" w:hAnsiTheme="majorHAnsi" w:cstheme="majorHAnsi"/>
          <w:sz w:val="24"/>
          <w:szCs w:val="24"/>
        </w:rPr>
      </w:pPr>
      <w:r w:rsidRPr="0041059B">
        <w:rPr>
          <w:rFonts w:asciiTheme="majorHAnsi" w:hAnsiTheme="majorHAnsi" w:cstheme="majorHAnsi"/>
          <w:sz w:val="24"/>
          <w:szCs w:val="24"/>
        </w:rPr>
        <w:t>Instructions to Workers</w:t>
      </w:r>
    </w:p>
    <w:p w14:paraId="644E7F36" w14:textId="77777777" w:rsidR="0041059B" w:rsidRPr="0041059B" w:rsidRDefault="0041059B" w:rsidP="0041059B">
      <w:pPr>
        <w:pStyle w:val="ListParagraph"/>
        <w:numPr>
          <w:ilvl w:val="1"/>
          <w:numId w:val="22"/>
        </w:numPr>
        <w:rPr>
          <w:rFonts w:asciiTheme="majorHAnsi" w:hAnsiTheme="majorHAnsi" w:cstheme="majorHAnsi"/>
          <w:sz w:val="24"/>
          <w:szCs w:val="24"/>
        </w:rPr>
      </w:pPr>
      <w:r w:rsidRPr="0041059B">
        <w:rPr>
          <w:rFonts w:asciiTheme="majorHAnsi" w:hAnsiTheme="majorHAnsi" w:cstheme="majorHAnsi"/>
          <w:sz w:val="24"/>
          <w:szCs w:val="24"/>
        </w:rPr>
        <w:t>Clear the area. If appropriate, survey all persons not involved in the spill and vacate the room.</w:t>
      </w:r>
    </w:p>
    <w:p w14:paraId="32731415" w14:textId="77777777" w:rsidR="0041059B" w:rsidRPr="0041059B" w:rsidRDefault="0041059B" w:rsidP="0041059B">
      <w:pPr>
        <w:pStyle w:val="ListParagraph"/>
        <w:numPr>
          <w:ilvl w:val="1"/>
          <w:numId w:val="22"/>
        </w:numPr>
        <w:rPr>
          <w:rFonts w:asciiTheme="majorHAnsi" w:hAnsiTheme="majorHAnsi" w:cstheme="majorHAnsi"/>
          <w:sz w:val="24"/>
          <w:szCs w:val="24"/>
        </w:rPr>
      </w:pPr>
      <w:r w:rsidRPr="0041059B">
        <w:rPr>
          <w:rFonts w:asciiTheme="majorHAnsi" w:hAnsiTheme="majorHAnsi" w:cstheme="majorHAnsi"/>
          <w:sz w:val="24"/>
          <w:szCs w:val="24"/>
        </w:rPr>
        <w:t>Prevent the spread of contamination by covering the spill with absorbent paper (paper should be dampened, if solids are spilled), but do not attempt to clean it up. To prevent the spread of contamination, limit the movement of all personnel who may be contaminated.</w:t>
      </w:r>
    </w:p>
    <w:p w14:paraId="03D63ED4" w14:textId="77777777" w:rsidR="0041059B" w:rsidRPr="0041059B" w:rsidRDefault="0041059B" w:rsidP="0041059B">
      <w:pPr>
        <w:pStyle w:val="ListParagraph"/>
        <w:numPr>
          <w:ilvl w:val="1"/>
          <w:numId w:val="22"/>
        </w:numPr>
        <w:rPr>
          <w:rFonts w:asciiTheme="majorHAnsi" w:hAnsiTheme="majorHAnsi" w:cstheme="majorHAnsi"/>
          <w:sz w:val="24"/>
          <w:szCs w:val="24"/>
        </w:rPr>
      </w:pPr>
      <w:r w:rsidRPr="0041059B">
        <w:rPr>
          <w:rFonts w:asciiTheme="majorHAnsi" w:hAnsiTheme="majorHAnsi" w:cstheme="majorHAnsi"/>
          <w:sz w:val="24"/>
          <w:szCs w:val="24"/>
        </w:rPr>
        <w:t>If appropriate, shield the source only if it can be done without further contamination or significant increase in radiation exposure.</w:t>
      </w:r>
    </w:p>
    <w:p w14:paraId="4D34EC49" w14:textId="77777777" w:rsidR="0041059B" w:rsidRPr="0041059B" w:rsidRDefault="0041059B" w:rsidP="0041059B">
      <w:pPr>
        <w:pStyle w:val="ListParagraph"/>
        <w:numPr>
          <w:ilvl w:val="1"/>
          <w:numId w:val="22"/>
        </w:numPr>
        <w:rPr>
          <w:rFonts w:asciiTheme="majorHAnsi" w:hAnsiTheme="majorHAnsi" w:cstheme="majorHAnsi"/>
          <w:sz w:val="24"/>
          <w:szCs w:val="24"/>
        </w:rPr>
      </w:pPr>
      <w:r w:rsidRPr="0041059B">
        <w:rPr>
          <w:rFonts w:asciiTheme="majorHAnsi" w:hAnsiTheme="majorHAnsi" w:cstheme="majorHAnsi"/>
          <w:sz w:val="24"/>
          <w:szCs w:val="24"/>
        </w:rPr>
        <w:t>Close the room and lock or otherwise secure the area to prevent entry. Post the room with a sign to warn anyone trying to enter that a spill of radioactive material has occurred.</w:t>
      </w:r>
    </w:p>
    <w:p w14:paraId="025978E0" w14:textId="77777777" w:rsidR="0041059B" w:rsidRPr="0041059B" w:rsidRDefault="0041059B" w:rsidP="0041059B">
      <w:pPr>
        <w:pStyle w:val="ListParagraph"/>
        <w:numPr>
          <w:ilvl w:val="1"/>
          <w:numId w:val="22"/>
        </w:numPr>
        <w:rPr>
          <w:rFonts w:asciiTheme="majorHAnsi" w:hAnsiTheme="majorHAnsi" w:cstheme="majorHAnsi"/>
          <w:sz w:val="24"/>
          <w:szCs w:val="24"/>
        </w:rPr>
      </w:pPr>
      <w:r w:rsidRPr="0041059B">
        <w:rPr>
          <w:rFonts w:asciiTheme="majorHAnsi" w:hAnsiTheme="majorHAnsi" w:cstheme="majorHAnsi"/>
          <w:sz w:val="24"/>
          <w:szCs w:val="24"/>
        </w:rPr>
        <w:t>Notify the RSO immediately.</w:t>
      </w:r>
    </w:p>
    <w:p w14:paraId="3D7EE05F" w14:textId="77777777" w:rsidR="0041059B" w:rsidRPr="0041059B" w:rsidRDefault="0041059B" w:rsidP="0041059B">
      <w:pPr>
        <w:pStyle w:val="ListParagraph"/>
        <w:numPr>
          <w:ilvl w:val="1"/>
          <w:numId w:val="22"/>
        </w:numPr>
        <w:rPr>
          <w:rFonts w:asciiTheme="majorHAnsi" w:hAnsiTheme="majorHAnsi" w:cstheme="majorHAnsi"/>
          <w:sz w:val="24"/>
          <w:szCs w:val="24"/>
        </w:rPr>
      </w:pPr>
      <w:r w:rsidRPr="0041059B">
        <w:rPr>
          <w:rFonts w:asciiTheme="majorHAnsi" w:hAnsiTheme="majorHAnsi" w:cstheme="majorHAnsi"/>
          <w:sz w:val="24"/>
          <w:szCs w:val="24"/>
        </w:rPr>
        <w:t>Survey all personnel who could possibly have been contaminated.</w:t>
      </w:r>
    </w:p>
    <w:p w14:paraId="477282CB" w14:textId="77777777" w:rsidR="0041059B" w:rsidRPr="0041059B" w:rsidRDefault="0041059B" w:rsidP="0041059B">
      <w:pPr>
        <w:pStyle w:val="ListParagraph"/>
        <w:numPr>
          <w:ilvl w:val="0"/>
          <w:numId w:val="25"/>
        </w:numPr>
        <w:rPr>
          <w:rFonts w:asciiTheme="majorHAnsi" w:hAnsiTheme="majorHAnsi" w:cstheme="majorHAnsi"/>
          <w:sz w:val="24"/>
          <w:szCs w:val="24"/>
        </w:rPr>
      </w:pPr>
      <w:r w:rsidRPr="0041059B">
        <w:rPr>
          <w:rFonts w:asciiTheme="majorHAnsi" w:hAnsiTheme="majorHAnsi" w:cstheme="majorHAnsi"/>
          <w:sz w:val="24"/>
          <w:szCs w:val="24"/>
        </w:rPr>
        <w:t>Decontaminate personnel by removing contaminated clothing and flushing contaminated skin with lukewarm water and then washing with a mild soap.</w:t>
      </w:r>
    </w:p>
    <w:p w14:paraId="0F106DE8" w14:textId="77777777" w:rsidR="0041059B" w:rsidRPr="0041059B" w:rsidRDefault="0041059B" w:rsidP="0041059B">
      <w:pPr>
        <w:pStyle w:val="ListParagraph"/>
        <w:numPr>
          <w:ilvl w:val="1"/>
          <w:numId w:val="22"/>
        </w:numPr>
        <w:rPr>
          <w:rFonts w:asciiTheme="majorHAnsi" w:hAnsiTheme="majorHAnsi" w:cstheme="majorHAnsi"/>
          <w:sz w:val="24"/>
          <w:szCs w:val="24"/>
        </w:rPr>
      </w:pPr>
      <w:r w:rsidRPr="0041059B">
        <w:rPr>
          <w:rFonts w:asciiTheme="majorHAnsi" w:hAnsiTheme="majorHAnsi" w:cstheme="majorHAnsi"/>
          <w:sz w:val="24"/>
          <w:szCs w:val="24"/>
        </w:rPr>
        <w:t>Allow no one to return to work in the area unless approved by the RSO.</w:t>
      </w:r>
    </w:p>
    <w:p w14:paraId="04550DB0" w14:textId="77777777" w:rsidR="0041059B" w:rsidRPr="0041059B" w:rsidRDefault="0041059B" w:rsidP="0041059B">
      <w:pPr>
        <w:pStyle w:val="ListParagraph"/>
        <w:numPr>
          <w:ilvl w:val="1"/>
          <w:numId w:val="22"/>
        </w:numPr>
        <w:rPr>
          <w:rFonts w:asciiTheme="majorHAnsi" w:hAnsiTheme="majorHAnsi" w:cstheme="majorHAnsi"/>
          <w:sz w:val="24"/>
          <w:szCs w:val="24"/>
        </w:rPr>
      </w:pPr>
      <w:r w:rsidRPr="0041059B">
        <w:rPr>
          <w:rFonts w:asciiTheme="majorHAnsi" w:hAnsiTheme="majorHAnsi" w:cstheme="majorHAnsi"/>
          <w:sz w:val="24"/>
          <w:szCs w:val="24"/>
        </w:rPr>
        <w:t>Cooperate with the RSO and/or the RSO’s staff (e.g., investigation of root cause, provision of requested bioassay samples).</w:t>
      </w:r>
    </w:p>
    <w:p w14:paraId="4DFAD973" w14:textId="77777777" w:rsidR="0041059B" w:rsidRPr="0041059B" w:rsidRDefault="0041059B" w:rsidP="0041059B">
      <w:pPr>
        <w:pStyle w:val="ListParagraph"/>
        <w:numPr>
          <w:ilvl w:val="1"/>
          <w:numId w:val="22"/>
        </w:numPr>
        <w:rPr>
          <w:rFonts w:asciiTheme="majorHAnsi" w:hAnsiTheme="majorHAnsi" w:cstheme="majorHAnsi"/>
          <w:sz w:val="24"/>
          <w:szCs w:val="24"/>
        </w:rPr>
      </w:pPr>
      <w:r w:rsidRPr="0041059B">
        <w:rPr>
          <w:rFonts w:asciiTheme="majorHAnsi" w:hAnsiTheme="majorHAnsi" w:cstheme="majorHAnsi"/>
          <w:sz w:val="24"/>
          <w:szCs w:val="24"/>
        </w:rPr>
        <w:lastRenderedPageBreak/>
        <w:t>Follow the instructions of the RSO and/or the RSO’s staff (e.g., decontamination techniques, surveys, provision of bioassay samples, requested documentation).</w:t>
      </w:r>
    </w:p>
    <w:p w14:paraId="2B74F9AE" w14:textId="77777777" w:rsidR="0041059B" w:rsidRPr="0041059B" w:rsidRDefault="0041059B" w:rsidP="0041059B">
      <w:pPr>
        <w:pStyle w:val="ListParagraph"/>
        <w:numPr>
          <w:ilvl w:val="0"/>
          <w:numId w:val="25"/>
        </w:numPr>
        <w:rPr>
          <w:rFonts w:asciiTheme="majorHAnsi" w:hAnsiTheme="majorHAnsi" w:cstheme="majorHAnsi"/>
          <w:sz w:val="24"/>
          <w:szCs w:val="24"/>
        </w:rPr>
      </w:pPr>
      <w:r w:rsidRPr="0041059B">
        <w:rPr>
          <w:rFonts w:asciiTheme="majorHAnsi" w:hAnsiTheme="majorHAnsi" w:cstheme="majorHAnsi"/>
          <w:sz w:val="24"/>
          <w:szCs w:val="24"/>
        </w:rPr>
        <w:t>Reminders to RSO</w:t>
      </w:r>
    </w:p>
    <w:p w14:paraId="419B4713" w14:textId="77777777" w:rsidR="0041059B" w:rsidRPr="0041059B" w:rsidRDefault="0041059B" w:rsidP="0041059B">
      <w:pPr>
        <w:pStyle w:val="ListParagraph"/>
        <w:numPr>
          <w:ilvl w:val="1"/>
          <w:numId w:val="22"/>
        </w:numPr>
        <w:rPr>
          <w:rFonts w:asciiTheme="majorHAnsi" w:hAnsiTheme="majorHAnsi" w:cstheme="majorHAnsi"/>
          <w:sz w:val="24"/>
          <w:szCs w:val="24"/>
        </w:rPr>
      </w:pPr>
      <w:r w:rsidRPr="0041059B">
        <w:rPr>
          <w:rFonts w:asciiTheme="majorHAnsi" w:hAnsiTheme="majorHAnsi" w:cstheme="majorHAnsi"/>
          <w:sz w:val="24"/>
          <w:szCs w:val="24"/>
        </w:rPr>
        <w:t>Confirm decontamination of personnel. If decontamination of personnel was not fully successful, consider inducing perspiration by covering the area with plastic.</w:t>
      </w:r>
    </w:p>
    <w:p w14:paraId="7D028CF3" w14:textId="77777777" w:rsidR="0041059B" w:rsidRPr="0041059B" w:rsidRDefault="0041059B" w:rsidP="0041059B">
      <w:pPr>
        <w:pStyle w:val="ListParagraph"/>
        <w:numPr>
          <w:ilvl w:val="0"/>
          <w:numId w:val="25"/>
        </w:numPr>
        <w:rPr>
          <w:rFonts w:asciiTheme="majorHAnsi" w:hAnsiTheme="majorHAnsi" w:cstheme="majorHAnsi"/>
          <w:sz w:val="24"/>
          <w:szCs w:val="24"/>
        </w:rPr>
      </w:pPr>
      <w:r w:rsidRPr="0041059B">
        <w:rPr>
          <w:rFonts w:asciiTheme="majorHAnsi" w:hAnsiTheme="majorHAnsi" w:cstheme="majorHAnsi"/>
          <w:sz w:val="24"/>
          <w:szCs w:val="24"/>
        </w:rPr>
        <w:t>Then wash the affected area again to remove any contamination that was released by perspiration.</w:t>
      </w:r>
    </w:p>
    <w:p w14:paraId="65E63971" w14:textId="77777777" w:rsidR="0041059B" w:rsidRPr="0041059B" w:rsidRDefault="0041059B" w:rsidP="0041059B">
      <w:pPr>
        <w:pStyle w:val="ListParagraph"/>
        <w:numPr>
          <w:ilvl w:val="1"/>
          <w:numId w:val="22"/>
        </w:numPr>
        <w:rPr>
          <w:rFonts w:asciiTheme="majorHAnsi" w:hAnsiTheme="majorHAnsi" w:cstheme="majorHAnsi"/>
          <w:sz w:val="24"/>
          <w:szCs w:val="24"/>
        </w:rPr>
      </w:pPr>
      <w:r w:rsidRPr="0041059B">
        <w:rPr>
          <w:rFonts w:asciiTheme="majorHAnsi" w:hAnsiTheme="majorHAnsi" w:cstheme="majorHAnsi"/>
          <w:sz w:val="24"/>
          <w:szCs w:val="24"/>
        </w:rPr>
        <w:t xml:space="preserve">Supervise decontamination activities and document the results. Documentation should include location of surveys and decontamination results. </w:t>
      </w:r>
    </w:p>
    <w:p w14:paraId="4C3684EF" w14:textId="77777777" w:rsidR="0041059B" w:rsidRPr="0041059B" w:rsidRDefault="0041059B" w:rsidP="0041059B">
      <w:pPr>
        <w:pStyle w:val="ListParagraph"/>
        <w:numPr>
          <w:ilvl w:val="1"/>
          <w:numId w:val="22"/>
        </w:numPr>
        <w:rPr>
          <w:rFonts w:asciiTheme="majorHAnsi" w:hAnsiTheme="majorHAnsi" w:cstheme="majorHAnsi"/>
          <w:sz w:val="24"/>
          <w:szCs w:val="24"/>
        </w:rPr>
      </w:pPr>
      <w:r w:rsidRPr="0041059B">
        <w:rPr>
          <w:rFonts w:asciiTheme="majorHAnsi" w:hAnsiTheme="majorHAnsi" w:cstheme="majorHAnsi"/>
          <w:sz w:val="24"/>
          <w:szCs w:val="24"/>
        </w:rPr>
        <w:t>Determine cause and needed corrective actions; consider need for bioassays if licensed material is suspected to have been ingested, inhaled, or absorbed through or injected under the skin.</w:t>
      </w:r>
    </w:p>
    <w:p w14:paraId="7C9A7310" w14:textId="21BA3D5C" w:rsidR="002227DB" w:rsidRPr="000A0E16" w:rsidRDefault="0041059B" w:rsidP="003E2463">
      <w:pPr>
        <w:pStyle w:val="ListParagraph"/>
        <w:numPr>
          <w:ilvl w:val="1"/>
          <w:numId w:val="22"/>
        </w:numPr>
      </w:pPr>
      <w:r w:rsidRPr="001C6892">
        <w:rPr>
          <w:rFonts w:asciiTheme="majorHAnsi" w:hAnsiTheme="majorHAnsi" w:cstheme="majorHAnsi"/>
          <w:sz w:val="24"/>
          <w:szCs w:val="24"/>
        </w:rPr>
        <w:t>If necessary, notify the NRC.</w:t>
      </w:r>
    </w:p>
    <w:sectPr w:rsidR="002227DB" w:rsidRPr="000A0E16" w:rsidSect="00A261A7">
      <w:headerReference w:type="first" r:id="rId8"/>
      <w:pgSz w:w="12240" w:h="15840"/>
      <w:pgMar w:top="1296" w:right="1440" w:bottom="1440" w:left="28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C3BE4" w14:textId="77777777" w:rsidR="0004517D" w:rsidRDefault="0004517D" w:rsidP="00A261A7">
      <w:r>
        <w:separator/>
      </w:r>
    </w:p>
  </w:endnote>
  <w:endnote w:type="continuationSeparator" w:id="0">
    <w:p w14:paraId="7E912FAF" w14:textId="77777777" w:rsidR="0004517D" w:rsidRDefault="0004517D" w:rsidP="00A2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32B4D" w14:textId="77777777" w:rsidR="0004517D" w:rsidRDefault="0004517D" w:rsidP="00A261A7">
      <w:r>
        <w:separator/>
      </w:r>
    </w:p>
  </w:footnote>
  <w:footnote w:type="continuationSeparator" w:id="0">
    <w:p w14:paraId="136555D1" w14:textId="77777777" w:rsidR="0004517D" w:rsidRDefault="0004517D" w:rsidP="00A26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C85D4" w14:textId="2345A7FD" w:rsidR="00A261A7" w:rsidRDefault="00F1408E">
    <w:pPr>
      <w:pStyle w:val="Header"/>
    </w:pPr>
    <w:r>
      <w:rPr>
        <w:noProof/>
      </w:rPr>
      <w:drawing>
        <wp:anchor distT="0" distB="0" distL="114300" distR="114300" simplePos="0" relativeHeight="251658240" behindDoc="1" locked="1" layoutInCell="0" allowOverlap="1" wp14:anchorId="43F65C79" wp14:editId="76A3AA7F">
          <wp:simplePos x="0" y="0"/>
          <wp:positionH relativeFrom="page">
            <wp:posOffset>228600</wp:posOffset>
          </wp:positionH>
          <wp:positionV relativeFrom="page">
            <wp:posOffset>228600</wp:posOffset>
          </wp:positionV>
          <wp:extent cx="1353312" cy="94548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earchComplianceEL.BMP"/>
                  <pic:cNvPicPr/>
                </pic:nvPicPr>
                <pic:blipFill>
                  <a:blip r:embed="rId1">
                    <a:extLst>
                      <a:ext uri="{28A0092B-C50C-407E-A947-70E740481C1C}">
                        <a14:useLocalDpi xmlns:a14="http://schemas.microsoft.com/office/drawing/2010/main" val="0"/>
                      </a:ext>
                    </a:extLst>
                  </a:blip>
                  <a:stretch>
                    <a:fillRect/>
                  </a:stretch>
                </pic:blipFill>
                <pic:spPr>
                  <a:xfrm>
                    <a:off x="0" y="0"/>
                    <a:ext cx="1353312" cy="94548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D27"/>
    <w:multiLevelType w:val="hybridMultilevel"/>
    <w:tmpl w:val="37EA8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E25C9"/>
    <w:multiLevelType w:val="hybridMultilevel"/>
    <w:tmpl w:val="7226B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0E1746"/>
    <w:multiLevelType w:val="hybridMultilevel"/>
    <w:tmpl w:val="2FAA160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F05CAE"/>
    <w:multiLevelType w:val="hybridMultilevel"/>
    <w:tmpl w:val="8A206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44EB1"/>
    <w:multiLevelType w:val="hybridMultilevel"/>
    <w:tmpl w:val="DDB279D0"/>
    <w:lvl w:ilvl="0" w:tplc="9752BB6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05772"/>
    <w:multiLevelType w:val="hybridMultilevel"/>
    <w:tmpl w:val="CE1EEEE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2DFD7E44"/>
    <w:multiLevelType w:val="hybridMultilevel"/>
    <w:tmpl w:val="7D76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7" w15:restartNumberingAfterBreak="0">
    <w:nsid w:val="31F532BA"/>
    <w:multiLevelType w:val="hybridMultilevel"/>
    <w:tmpl w:val="EAFA32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8060D8"/>
    <w:multiLevelType w:val="hybridMultilevel"/>
    <w:tmpl w:val="F56CB1E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39DC74C5"/>
    <w:multiLevelType w:val="hybridMultilevel"/>
    <w:tmpl w:val="1A801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613144"/>
    <w:multiLevelType w:val="hybridMultilevel"/>
    <w:tmpl w:val="881C09F0"/>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3DD13523"/>
    <w:multiLevelType w:val="hybridMultilevel"/>
    <w:tmpl w:val="932A2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47493"/>
    <w:multiLevelType w:val="hybridMultilevel"/>
    <w:tmpl w:val="FA121D7E"/>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3" w15:restartNumberingAfterBreak="0">
    <w:nsid w:val="45D835CF"/>
    <w:multiLevelType w:val="hybridMultilevel"/>
    <w:tmpl w:val="0626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9B34A3"/>
    <w:multiLevelType w:val="hybridMultilevel"/>
    <w:tmpl w:val="445C01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C3AF3"/>
    <w:multiLevelType w:val="hybridMultilevel"/>
    <w:tmpl w:val="6A56F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F46A83"/>
    <w:multiLevelType w:val="hybridMultilevel"/>
    <w:tmpl w:val="AD2A94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144985"/>
    <w:multiLevelType w:val="hybridMultilevel"/>
    <w:tmpl w:val="836C603C"/>
    <w:lvl w:ilvl="0" w:tplc="9752BB60">
      <w:start w:val="1"/>
      <w:numFmt w:val="upperLetter"/>
      <w:lvlText w:val="%1&gt;"/>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568F0530"/>
    <w:multiLevelType w:val="hybridMultilevel"/>
    <w:tmpl w:val="7768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03E92"/>
    <w:multiLevelType w:val="hybridMultilevel"/>
    <w:tmpl w:val="40E4F46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0" w15:restartNumberingAfterBreak="0">
    <w:nsid w:val="5D473324"/>
    <w:multiLevelType w:val="hybridMultilevel"/>
    <w:tmpl w:val="1040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247ADB"/>
    <w:multiLevelType w:val="hybridMultilevel"/>
    <w:tmpl w:val="22FA5DAA"/>
    <w:lvl w:ilvl="0" w:tplc="04090001">
      <w:start w:val="1"/>
      <w:numFmt w:val="bullet"/>
      <w:lvlText w:val=""/>
      <w:lvlJc w:val="left"/>
      <w:pPr>
        <w:ind w:left="720" w:hanging="360"/>
      </w:pPr>
      <w:rPr>
        <w:rFonts w:ascii="Symbol" w:hAnsi="Symbol" w:hint="default"/>
      </w:rPr>
    </w:lvl>
    <w:lvl w:ilvl="1" w:tplc="F7340976">
      <w:numFmt w:val="bullet"/>
      <w:lvlText w:val="—"/>
      <w:lvlJc w:val="left"/>
      <w:pPr>
        <w:ind w:left="1440" w:hanging="360"/>
      </w:pPr>
      <w:rPr>
        <w:rFonts w:ascii="Calibri" w:eastAsiaTheme="minorHAnsi" w:hAnsi="Calibri" w:cs="Calibri" w:hint="default"/>
      </w:rPr>
    </w:lvl>
    <w:lvl w:ilvl="2" w:tplc="C032D69E">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455E67"/>
    <w:multiLevelType w:val="hybridMultilevel"/>
    <w:tmpl w:val="CD2C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A338DB"/>
    <w:multiLevelType w:val="hybridMultilevel"/>
    <w:tmpl w:val="DA2C70E6"/>
    <w:lvl w:ilvl="0" w:tplc="9752BB60">
      <w:start w:val="1"/>
      <w:numFmt w:val="upperLetter"/>
      <w:lvlText w:val="%1&gt;"/>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 w15:restartNumberingAfterBreak="0">
    <w:nsid w:val="7C701CA9"/>
    <w:multiLevelType w:val="hybridMultilevel"/>
    <w:tmpl w:val="5E2C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18"/>
  </w:num>
  <w:num w:numId="5">
    <w:abstractNumId w:val="16"/>
  </w:num>
  <w:num w:numId="6">
    <w:abstractNumId w:val="13"/>
  </w:num>
  <w:num w:numId="7">
    <w:abstractNumId w:val="19"/>
  </w:num>
  <w:num w:numId="8">
    <w:abstractNumId w:val="22"/>
  </w:num>
  <w:num w:numId="9">
    <w:abstractNumId w:val="5"/>
  </w:num>
  <w:num w:numId="10">
    <w:abstractNumId w:val="24"/>
  </w:num>
  <w:num w:numId="11">
    <w:abstractNumId w:val="7"/>
  </w:num>
  <w:num w:numId="12">
    <w:abstractNumId w:val="11"/>
  </w:num>
  <w:num w:numId="13">
    <w:abstractNumId w:val="4"/>
  </w:num>
  <w:num w:numId="14">
    <w:abstractNumId w:val="23"/>
  </w:num>
  <w:num w:numId="15">
    <w:abstractNumId w:val="17"/>
  </w:num>
  <w:num w:numId="16">
    <w:abstractNumId w:val="12"/>
  </w:num>
  <w:num w:numId="17">
    <w:abstractNumId w:val="8"/>
  </w:num>
  <w:num w:numId="18">
    <w:abstractNumId w:val="10"/>
  </w:num>
  <w:num w:numId="19">
    <w:abstractNumId w:val="14"/>
  </w:num>
  <w:num w:numId="20">
    <w:abstractNumId w:val="9"/>
  </w:num>
  <w:num w:numId="21">
    <w:abstractNumId w:val="2"/>
  </w:num>
  <w:num w:numId="22">
    <w:abstractNumId w:val="21"/>
  </w:num>
  <w:num w:numId="23">
    <w:abstractNumId w:val="0"/>
  </w:num>
  <w:num w:numId="24">
    <w:abstractNumId w:val="1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1A7"/>
    <w:rsid w:val="0004517D"/>
    <w:rsid w:val="000A0E16"/>
    <w:rsid w:val="000A2ACD"/>
    <w:rsid w:val="001C6892"/>
    <w:rsid w:val="002055D0"/>
    <w:rsid w:val="002100AF"/>
    <w:rsid w:val="002227DB"/>
    <w:rsid w:val="00232405"/>
    <w:rsid w:val="0025581C"/>
    <w:rsid w:val="002B41EC"/>
    <w:rsid w:val="00312F7C"/>
    <w:rsid w:val="003511BE"/>
    <w:rsid w:val="003B1476"/>
    <w:rsid w:val="003F34BB"/>
    <w:rsid w:val="0041059B"/>
    <w:rsid w:val="004A1665"/>
    <w:rsid w:val="004F59C5"/>
    <w:rsid w:val="00513976"/>
    <w:rsid w:val="0052286F"/>
    <w:rsid w:val="00556AE6"/>
    <w:rsid w:val="00582142"/>
    <w:rsid w:val="0060132D"/>
    <w:rsid w:val="00661B23"/>
    <w:rsid w:val="006846D1"/>
    <w:rsid w:val="006A7729"/>
    <w:rsid w:val="006B3490"/>
    <w:rsid w:val="006C36F5"/>
    <w:rsid w:val="006D0C07"/>
    <w:rsid w:val="008132B5"/>
    <w:rsid w:val="00825B0A"/>
    <w:rsid w:val="0086159D"/>
    <w:rsid w:val="00921450"/>
    <w:rsid w:val="009A7153"/>
    <w:rsid w:val="00A261A7"/>
    <w:rsid w:val="00A81698"/>
    <w:rsid w:val="00AB5E9F"/>
    <w:rsid w:val="00AB7C6E"/>
    <w:rsid w:val="00BB187A"/>
    <w:rsid w:val="00BD2A95"/>
    <w:rsid w:val="00BE63BB"/>
    <w:rsid w:val="00CE2DFC"/>
    <w:rsid w:val="00D16257"/>
    <w:rsid w:val="00D97EFF"/>
    <w:rsid w:val="00E776B0"/>
    <w:rsid w:val="00EA3462"/>
    <w:rsid w:val="00EA4AD5"/>
    <w:rsid w:val="00EB2100"/>
    <w:rsid w:val="00EC4580"/>
    <w:rsid w:val="00EE3016"/>
    <w:rsid w:val="00EE556B"/>
    <w:rsid w:val="00F1393C"/>
    <w:rsid w:val="00F1408E"/>
    <w:rsid w:val="00F32F58"/>
    <w:rsid w:val="00F65D2D"/>
    <w:rsid w:val="00F86713"/>
    <w:rsid w:val="00FA545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ED164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1A7"/>
    <w:pPr>
      <w:tabs>
        <w:tab w:val="center" w:pos="4320"/>
        <w:tab w:val="right" w:pos="8640"/>
      </w:tabs>
    </w:pPr>
  </w:style>
  <w:style w:type="character" w:customStyle="1" w:styleId="HeaderChar">
    <w:name w:val="Header Char"/>
    <w:basedOn w:val="DefaultParagraphFont"/>
    <w:link w:val="Header"/>
    <w:uiPriority w:val="99"/>
    <w:rsid w:val="00A261A7"/>
  </w:style>
  <w:style w:type="paragraph" w:styleId="Footer">
    <w:name w:val="footer"/>
    <w:basedOn w:val="Normal"/>
    <w:link w:val="FooterChar"/>
    <w:uiPriority w:val="99"/>
    <w:unhideWhenUsed/>
    <w:rsid w:val="00A261A7"/>
    <w:pPr>
      <w:tabs>
        <w:tab w:val="center" w:pos="4320"/>
        <w:tab w:val="right" w:pos="8640"/>
      </w:tabs>
    </w:pPr>
  </w:style>
  <w:style w:type="character" w:customStyle="1" w:styleId="FooterChar">
    <w:name w:val="Footer Char"/>
    <w:basedOn w:val="DefaultParagraphFont"/>
    <w:link w:val="Footer"/>
    <w:uiPriority w:val="99"/>
    <w:rsid w:val="00A261A7"/>
  </w:style>
  <w:style w:type="paragraph" w:styleId="BalloonText">
    <w:name w:val="Balloon Text"/>
    <w:basedOn w:val="Normal"/>
    <w:link w:val="BalloonTextChar"/>
    <w:uiPriority w:val="99"/>
    <w:semiHidden/>
    <w:unhideWhenUsed/>
    <w:rsid w:val="00A261A7"/>
    <w:rPr>
      <w:rFonts w:ascii="Lucida Grande" w:hAnsi="Lucida Grande"/>
      <w:sz w:val="18"/>
      <w:szCs w:val="18"/>
    </w:rPr>
  </w:style>
  <w:style w:type="character" w:customStyle="1" w:styleId="BalloonTextChar">
    <w:name w:val="Balloon Text Char"/>
    <w:basedOn w:val="DefaultParagraphFont"/>
    <w:link w:val="BalloonText"/>
    <w:uiPriority w:val="99"/>
    <w:semiHidden/>
    <w:rsid w:val="00A261A7"/>
    <w:rPr>
      <w:rFonts w:ascii="Lucida Grande" w:hAnsi="Lucida Grande"/>
      <w:sz w:val="18"/>
      <w:szCs w:val="18"/>
    </w:rPr>
  </w:style>
  <w:style w:type="paragraph" w:styleId="ListParagraph">
    <w:name w:val="List Paragraph"/>
    <w:basedOn w:val="Normal"/>
    <w:uiPriority w:val="34"/>
    <w:qFormat/>
    <w:rsid w:val="004F59C5"/>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4A1665"/>
    <w:rPr>
      <w:color w:val="0000FF" w:themeColor="hyperlink"/>
      <w:u w:val="single"/>
    </w:rPr>
  </w:style>
  <w:style w:type="table" w:styleId="TableGrid">
    <w:name w:val="Table Grid"/>
    <w:basedOn w:val="TableNormal"/>
    <w:uiPriority w:val="39"/>
    <w:rsid w:val="00D16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1625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751523">
      <w:bodyDiv w:val="1"/>
      <w:marLeft w:val="0"/>
      <w:marRight w:val="0"/>
      <w:marTop w:val="0"/>
      <w:marBottom w:val="0"/>
      <w:divBdr>
        <w:top w:val="none" w:sz="0" w:space="0" w:color="auto"/>
        <w:left w:val="none" w:sz="0" w:space="0" w:color="auto"/>
        <w:bottom w:val="none" w:sz="0" w:space="0" w:color="auto"/>
        <w:right w:val="none" w:sz="0" w:space="0" w:color="auto"/>
      </w:divBdr>
    </w:div>
    <w:div w:id="19773690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20828-FAF7-498C-9C58-06B1F7281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Gauther</dc:creator>
  <cp:keywords/>
  <dc:description/>
  <cp:lastModifiedBy>Childs, Nicholas</cp:lastModifiedBy>
  <cp:revision>4</cp:revision>
  <dcterms:created xsi:type="dcterms:W3CDTF">2020-07-27T20:33:00Z</dcterms:created>
  <dcterms:modified xsi:type="dcterms:W3CDTF">2020-07-27T20:40:00Z</dcterms:modified>
</cp:coreProperties>
</file>