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9"/>
        <w:ind w:left="2687"/>
      </w:pPr>
      <w:r>
        <w:rPr/>
        <w:t>U.S.</w:t>
      </w:r>
      <w:r>
        <w:rPr>
          <w:spacing w:val="-3"/>
        </w:rPr>
        <w:t> </w:t>
      </w:r>
      <w:r>
        <w:rPr/>
        <w:t>Tax</w:t>
      </w:r>
      <w:r>
        <w:rPr>
          <w:spacing w:val="-2"/>
        </w:rPr>
        <w:t> </w:t>
      </w:r>
      <w:r>
        <w:rPr/>
        <w:t>Residency</w:t>
      </w:r>
      <w:r>
        <w:rPr>
          <w:spacing w:val="-3"/>
        </w:rPr>
        <w:t> </w:t>
      </w:r>
      <w:r>
        <w:rPr>
          <w:spacing w:val="-2"/>
        </w:rPr>
        <w:t>Rules</w:t>
      </w:r>
    </w:p>
    <w:p>
      <w:pPr>
        <w:pStyle w:val="BodyText"/>
        <w:spacing w:before="355"/>
        <w:ind w:left="120"/>
      </w:pPr>
      <w:r>
        <w:rPr/>
        <w:t>‘For U.S. tax purposes, there are four categories of individuals: (i) U.S. citizens, (ii) permanent</w:t>
      </w:r>
      <w:r>
        <w:rPr>
          <w:spacing w:val="-5"/>
        </w:rPr>
        <w:t> </w:t>
      </w:r>
      <w:r>
        <w:rPr/>
        <w:t>resident</w:t>
      </w:r>
      <w:r>
        <w:rPr>
          <w:spacing w:val="-5"/>
        </w:rPr>
        <w:t> </w:t>
      </w:r>
      <w:r>
        <w:rPr/>
        <w:t>aliens</w:t>
      </w:r>
      <w:r>
        <w:rPr>
          <w:spacing w:val="-5"/>
        </w:rPr>
        <w:t> </w:t>
      </w:r>
      <w:r>
        <w:rPr/>
        <w:t>(i.e.,</w:t>
      </w:r>
      <w:r>
        <w:rPr>
          <w:spacing w:val="-5"/>
        </w:rPr>
        <w:t> </w:t>
      </w:r>
      <w:r>
        <w:rPr/>
        <w:t>“green</w:t>
      </w:r>
      <w:r>
        <w:rPr>
          <w:spacing w:val="-5"/>
        </w:rPr>
        <w:t> </w:t>
      </w:r>
      <w:r>
        <w:rPr/>
        <w:t>card</w:t>
      </w:r>
      <w:r>
        <w:rPr>
          <w:spacing w:val="-5"/>
        </w:rPr>
        <w:t> </w:t>
      </w:r>
      <w:r>
        <w:rPr/>
        <w:t>holders”)</w:t>
      </w:r>
      <w:r>
        <w:rPr>
          <w:spacing w:val="-5"/>
        </w:rPr>
        <w:t> </w:t>
      </w:r>
      <w:r>
        <w:rPr/>
        <w:t>and</w:t>
      </w:r>
      <w:r>
        <w:rPr>
          <w:spacing w:val="-5"/>
        </w:rPr>
        <w:t> </w:t>
      </w:r>
      <w:r>
        <w:rPr/>
        <w:t>immigrants,</w:t>
      </w:r>
      <w:r>
        <w:rPr>
          <w:spacing w:val="-5"/>
        </w:rPr>
        <w:t> </w:t>
      </w:r>
      <w:r>
        <w:rPr/>
        <w:t>(iii)</w:t>
      </w:r>
      <w:r>
        <w:rPr>
          <w:spacing w:val="-5"/>
        </w:rPr>
        <w:t> </w:t>
      </w:r>
      <w:r>
        <w:rPr/>
        <w:t>resident</w:t>
      </w:r>
      <w:r>
        <w:rPr>
          <w:spacing w:val="-5"/>
        </w:rPr>
        <w:t> </w:t>
      </w:r>
      <w:r>
        <w:rPr/>
        <w:t>aliens for tax purposes, and (iv) Nonresident aliens for tax purposes.’</w:t>
      </w:r>
    </w:p>
    <w:p>
      <w:pPr>
        <w:pStyle w:val="BodyText"/>
      </w:pPr>
    </w:p>
    <w:p>
      <w:pPr>
        <w:pStyle w:val="BodyText"/>
        <w:ind w:left="120" w:right="185"/>
      </w:pPr>
      <w:r>
        <w:rPr/>
        <w:t>‘There are two tests that are used to determine whether a non-U.S. citizen should be treated as a U.S. resident for tax purposes: (i) the “green card” test, and (ii) the “substantial</w:t>
      </w:r>
      <w:r>
        <w:rPr>
          <w:spacing w:val="-1"/>
        </w:rPr>
        <w:t> </w:t>
      </w:r>
      <w:r>
        <w:rPr/>
        <w:t>presence”</w:t>
      </w:r>
      <w:r>
        <w:rPr>
          <w:spacing w:val="-1"/>
        </w:rPr>
        <w:t> </w:t>
      </w:r>
      <w:r>
        <w:rPr/>
        <w:t>test.</w:t>
      </w:r>
      <w:r>
        <w:rPr>
          <w:spacing w:val="-1"/>
        </w:rPr>
        <w:t> </w:t>
      </w:r>
      <w:r>
        <w:rPr/>
        <w:t>If</w:t>
      </w:r>
      <w:r>
        <w:rPr>
          <w:spacing w:val="-1"/>
        </w:rPr>
        <w:t> </w:t>
      </w:r>
      <w:r>
        <w:rPr/>
        <w:t>the</w:t>
      </w:r>
      <w:r>
        <w:rPr>
          <w:spacing w:val="-1"/>
        </w:rPr>
        <w:t> </w:t>
      </w:r>
      <w:r>
        <w:rPr/>
        <w:t>non-U.S.</w:t>
      </w:r>
      <w:r>
        <w:rPr>
          <w:spacing w:val="-14"/>
        </w:rPr>
        <w:t> </w:t>
      </w:r>
      <w:r>
        <w:rPr/>
        <w:t>citizen</w:t>
      </w:r>
      <w:r>
        <w:rPr>
          <w:spacing w:val="-3"/>
        </w:rPr>
        <w:t> </w:t>
      </w:r>
      <w:r>
        <w:rPr/>
        <w:t>satisfies</w:t>
      </w:r>
      <w:r>
        <w:rPr>
          <w:spacing w:val="-5"/>
        </w:rPr>
        <w:t> </w:t>
      </w:r>
      <w:r>
        <w:rPr/>
        <w:t>(or</w:t>
      </w:r>
      <w:r>
        <w:rPr>
          <w:spacing w:val="-4"/>
        </w:rPr>
        <w:t> </w:t>
      </w:r>
      <w:r>
        <w:rPr/>
        <w:t>“passes”)</w:t>
      </w:r>
      <w:r>
        <w:rPr>
          <w:spacing w:val="-6"/>
        </w:rPr>
        <w:t> </w:t>
      </w:r>
      <w:r>
        <w:rPr>
          <w:u w:val="single"/>
        </w:rPr>
        <w:t>either</w:t>
      </w:r>
      <w:r>
        <w:rPr>
          <w:spacing w:val="-6"/>
        </w:rPr>
        <w:t> </w:t>
      </w:r>
      <w:r>
        <w:rPr/>
        <w:t>test,</w:t>
      </w:r>
      <w:r>
        <w:rPr>
          <w:spacing w:val="-3"/>
        </w:rPr>
        <w:t> </w:t>
      </w:r>
      <w:r>
        <w:rPr/>
        <w:t>he</w:t>
      </w:r>
      <w:r>
        <w:rPr>
          <w:spacing w:val="-3"/>
        </w:rPr>
        <w:t> </w:t>
      </w:r>
      <w:r>
        <w:rPr/>
        <w:t>is a U.S. resident for tax purposes; if he satisfies </w:t>
      </w:r>
      <w:r>
        <w:rPr>
          <w:u w:val="single"/>
        </w:rPr>
        <w:t>neither </w:t>
      </w:r>
      <w:r>
        <w:rPr/>
        <w:t>test, he is taxed as a nonresident </w:t>
      </w:r>
      <w:r>
        <w:rPr>
          <w:spacing w:val="-2"/>
        </w:rPr>
        <w:t>alien.’</w:t>
      </w:r>
    </w:p>
    <w:p>
      <w:pPr>
        <w:pStyle w:val="BodyText"/>
      </w:pPr>
    </w:p>
    <w:p>
      <w:pPr>
        <w:pStyle w:val="BodyText"/>
      </w:pPr>
    </w:p>
    <w:p>
      <w:pPr>
        <w:pStyle w:val="BodyText"/>
        <w:spacing w:before="9"/>
      </w:pPr>
    </w:p>
    <w:p>
      <w:pPr>
        <w:pStyle w:val="Heading1"/>
        <w:jc w:val="center"/>
      </w:pPr>
      <w:r>
        <w:rPr/>
        <w:t>Substantial</w:t>
      </w:r>
      <w:r>
        <w:rPr>
          <w:spacing w:val="-8"/>
        </w:rPr>
        <w:t> </w:t>
      </w:r>
      <w:r>
        <w:rPr/>
        <w:t>U.S.</w:t>
      </w:r>
      <w:r>
        <w:rPr>
          <w:spacing w:val="-7"/>
        </w:rPr>
        <w:t> </w:t>
      </w:r>
      <w:r>
        <w:rPr/>
        <w:t>Presence</w:t>
      </w:r>
      <w:r>
        <w:rPr>
          <w:spacing w:val="5"/>
        </w:rPr>
        <w:t> </w:t>
      </w:r>
      <w:r>
        <w:rPr>
          <w:spacing w:val="-4"/>
        </w:rPr>
        <w:t>Test</w:t>
      </w:r>
    </w:p>
    <w:p>
      <w:pPr>
        <w:pStyle w:val="BodyText"/>
        <w:spacing w:before="367"/>
        <w:ind w:left="120"/>
      </w:pPr>
      <w:r>
        <w:rPr/>
        <w:t>This</w:t>
      </w:r>
      <w:r>
        <w:rPr>
          <w:spacing w:val="-3"/>
        </w:rPr>
        <w:t> </w:t>
      </w:r>
      <w:r>
        <w:rPr/>
        <w:t>is</w:t>
      </w:r>
      <w:r>
        <w:rPr>
          <w:spacing w:val="-3"/>
        </w:rPr>
        <w:t> </w:t>
      </w:r>
      <w:r>
        <w:rPr/>
        <w:t>a</w:t>
      </w:r>
      <w:r>
        <w:rPr>
          <w:spacing w:val="-1"/>
        </w:rPr>
        <w:t> </w:t>
      </w:r>
      <w:r>
        <w:rPr/>
        <w:t>mandatory</w:t>
      </w:r>
      <w:r>
        <w:rPr>
          <w:spacing w:val="-2"/>
        </w:rPr>
        <w:t> </w:t>
      </w:r>
      <w:r>
        <w:rPr/>
        <w:t>test</w:t>
      </w:r>
      <w:r>
        <w:rPr>
          <w:spacing w:val="-2"/>
        </w:rPr>
        <w:t> </w:t>
      </w:r>
      <w:r>
        <w:rPr/>
        <w:t>that</w:t>
      </w:r>
      <w:r>
        <w:rPr>
          <w:spacing w:val="-1"/>
        </w:rPr>
        <w:t> </w:t>
      </w:r>
      <w:r>
        <w:rPr/>
        <w:t>is</w:t>
      </w:r>
      <w:r>
        <w:rPr>
          <w:spacing w:val="-2"/>
        </w:rPr>
        <w:t> </w:t>
      </w:r>
      <w:r>
        <w:rPr/>
        <w:t>done</w:t>
      </w:r>
      <w:r>
        <w:rPr>
          <w:spacing w:val="-2"/>
        </w:rPr>
        <w:t> </w:t>
      </w:r>
      <w:r>
        <w:rPr/>
        <w:t>on</w:t>
      </w:r>
      <w:r>
        <w:rPr>
          <w:spacing w:val="-2"/>
        </w:rPr>
        <w:t> </w:t>
      </w:r>
      <w:r>
        <w:rPr/>
        <w:t>a</w:t>
      </w:r>
      <w:r>
        <w:rPr>
          <w:spacing w:val="-2"/>
        </w:rPr>
        <w:t> </w:t>
      </w:r>
      <w:r>
        <w:rPr/>
        <w:t>yearly</w:t>
      </w:r>
      <w:r>
        <w:rPr>
          <w:spacing w:val="-1"/>
        </w:rPr>
        <w:t> </w:t>
      </w:r>
      <w:r>
        <w:rPr/>
        <w:t>basis</w:t>
      </w:r>
      <w:r>
        <w:rPr>
          <w:spacing w:val="-2"/>
        </w:rPr>
        <w:t> </w:t>
      </w:r>
      <w:r>
        <w:rPr/>
        <w:t>by</w:t>
      </w:r>
      <w:r>
        <w:rPr>
          <w:spacing w:val="-2"/>
        </w:rPr>
        <w:t> </w:t>
      </w:r>
      <w:r>
        <w:rPr/>
        <w:t>Personnel</w:t>
      </w:r>
      <w:r>
        <w:rPr>
          <w:spacing w:val="-2"/>
        </w:rPr>
        <w:t> </w:t>
      </w:r>
      <w:r>
        <w:rPr/>
        <w:t>and</w:t>
      </w:r>
      <w:r>
        <w:rPr>
          <w:spacing w:val="-2"/>
        </w:rPr>
        <w:t> </w:t>
      </w:r>
      <w:r>
        <w:rPr/>
        <w:t>Payroll</w:t>
      </w:r>
      <w:r>
        <w:rPr>
          <w:spacing w:val="-1"/>
        </w:rPr>
        <w:t> </w:t>
      </w:r>
      <w:r>
        <w:rPr>
          <w:spacing w:val="-2"/>
        </w:rPr>
        <w:t>services.</w:t>
      </w:r>
    </w:p>
    <w:p>
      <w:pPr>
        <w:pStyle w:val="BodyText"/>
      </w:pPr>
    </w:p>
    <w:p>
      <w:pPr>
        <w:pStyle w:val="BodyText"/>
        <w:ind w:left="119" w:right="140"/>
      </w:pPr>
      <w:r>
        <w:rPr/>
        <w:t>Under the general rule for U.S. tax residency, foreign nationals are “substantially present,” in the United States if they are present for at least 31 days in the current calendar year, and their U.S. days over 3 calendar year equal or exceed 183 days based on a formula. The 183-day formula considers all of the U.S. days in the current calendar year,</w:t>
      </w:r>
      <w:r>
        <w:rPr>
          <w:spacing w:val="-3"/>
        </w:rPr>
        <w:t> </w:t>
      </w:r>
      <w:r>
        <w:rPr/>
        <w:t>plus</w:t>
      </w:r>
      <w:r>
        <w:rPr>
          <w:spacing w:val="-3"/>
        </w:rPr>
        <w:t> </w:t>
      </w:r>
      <w:r>
        <w:rPr/>
        <w:t>1/3</w:t>
      </w:r>
      <w:r>
        <w:rPr>
          <w:spacing w:val="-3"/>
        </w:rPr>
        <w:t> </w:t>
      </w:r>
      <w:r>
        <w:rPr/>
        <w:t>of</w:t>
      </w:r>
      <w:r>
        <w:rPr>
          <w:spacing w:val="-3"/>
        </w:rPr>
        <w:t> </w:t>
      </w:r>
      <w:r>
        <w:rPr/>
        <w:t>the</w:t>
      </w:r>
      <w:r>
        <w:rPr>
          <w:spacing w:val="-3"/>
        </w:rPr>
        <w:t> </w:t>
      </w:r>
      <w:r>
        <w:rPr/>
        <w:t>U.S.</w:t>
      </w:r>
      <w:r>
        <w:rPr>
          <w:spacing w:val="-3"/>
        </w:rPr>
        <w:t> </w:t>
      </w:r>
      <w:r>
        <w:rPr/>
        <w:t>days</w:t>
      </w:r>
      <w:r>
        <w:rPr>
          <w:spacing w:val="-3"/>
        </w:rPr>
        <w:t> </w:t>
      </w:r>
      <w:r>
        <w:rPr/>
        <w:t>in</w:t>
      </w:r>
      <w:r>
        <w:rPr>
          <w:spacing w:val="-3"/>
        </w:rPr>
        <w:t> </w:t>
      </w:r>
      <w:r>
        <w:rPr/>
        <w:t>the</w:t>
      </w:r>
      <w:r>
        <w:rPr>
          <w:spacing w:val="-3"/>
        </w:rPr>
        <w:t> </w:t>
      </w:r>
      <w:r>
        <w:rPr/>
        <w:t>prior</w:t>
      </w:r>
      <w:r>
        <w:rPr>
          <w:spacing w:val="-3"/>
        </w:rPr>
        <w:t> </w:t>
      </w:r>
      <w:r>
        <w:rPr/>
        <w:t>year,</w:t>
      </w:r>
      <w:r>
        <w:rPr>
          <w:spacing w:val="-3"/>
        </w:rPr>
        <w:t> </w:t>
      </w:r>
      <w:r>
        <w:rPr/>
        <w:t>plus</w:t>
      </w:r>
      <w:r>
        <w:rPr>
          <w:spacing w:val="-3"/>
        </w:rPr>
        <w:t> </w:t>
      </w:r>
      <w:r>
        <w:rPr/>
        <w:t>1/6</w:t>
      </w:r>
      <w:r>
        <w:rPr>
          <w:spacing w:val="-3"/>
        </w:rPr>
        <w:t> </w:t>
      </w:r>
      <w:r>
        <w:rPr/>
        <w:t>of</w:t>
      </w:r>
      <w:r>
        <w:rPr>
          <w:spacing w:val="-3"/>
        </w:rPr>
        <w:t> </w:t>
      </w:r>
      <w:r>
        <w:rPr/>
        <w:t>the</w:t>
      </w:r>
      <w:r>
        <w:rPr>
          <w:spacing w:val="-3"/>
        </w:rPr>
        <w:t> </w:t>
      </w:r>
      <w:r>
        <w:rPr/>
        <w:t>days</w:t>
      </w:r>
      <w:r>
        <w:rPr>
          <w:spacing w:val="-3"/>
        </w:rPr>
        <w:t> </w:t>
      </w:r>
      <w:r>
        <w:rPr/>
        <w:t>in</w:t>
      </w:r>
      <w:r>
        <w:rPr>
          <w:spacing w:val="-3"/>
        </w:rPr>
        <w:t> </w:t>
      </w:r>
      <w:r>
        <w:rPr/>
        <w:t>the</w:t>
      </w:r>
      <w:r>
        <w:rPr>
          <w:spacing w:val="-3"/>
        </w:rPr>
        <w:t> </w:t>
      </w:r>
      <w:r>
        <w:rPr/>
        <w:t>year</w:t>
      </w:r>
      <w:r>
        <w:rPr>
          <w:spacing w:val="-3"/>
        </w:rPr>
        <w:t> </w:t>
      </w:r>
      <w:r>
        <w:rPr/>
        <w:t>before</w:t>
      </w:r>
      <w:r>
        <w:rPr>
          <w:spacing w:val="-3"/>
        </w:rPr>
        <w:t> </w:t>
      </w:r>
      <w:r>
        <w:rPr/>
        <w:t>the prior year. Foreign nationals whose presence in the United States satisfies</w:t>
      </w:r>
      <w:r>
        <w:rPr>
          <w:spacing w:val="-1"/>
        </w:rPr>
        <w:t> </w:t>
      </w:r>
      <w:r>
        <w:rPr/>
        <w:t>the</w:t>
      </w:r>
      <w:r>
        <w:rPr>
          <w:spacing w:val="-1"/>
        </w:rPr>
        <w:t> </w:t>
      </w:r>
      <w:r>
        <w:rPr/>
        <w:t>substantial presence formula are resident aliens and taxed like U.S. citizens.</w:t>
      </w:r>
    </w:p>
    <w:p>
      <w:pPr>
        <w:pStyle w:val="BodyText"/>
      </w:pPr>
    </w:p>
    <w:p>
      <w:pPr>
        <w:pStyle w:val="BodyText"/>
        <w:ind w:left="119" w:right="199"/>
      </w:pPr>
      <w:r>
        <w:rPr/>
        <w:t>For policy reasons, foreign students are nonresident aliens for U.S. income tax purposes for 5 calendar years. Therefore, they are subject to U.S. income tax only on their U.S. income</w:t>
      </w:r>
      <w:r>
        <w:rPr>
          <w:spacing w:val="-6"/>
        </w:rPr>
        <w:t> </w:t>
      </w:r>
      <w:r>
        <w:rPr/>
        <w:t>(unless</w:t>
      </w:r>
      <w:r>
        <w:rPr>
          <w:spacing w:val="-6"/>
        </w:rPr>
        <w:t> </w:t>
      </w:r>
      <w:r>
        <w:rPr/>
        <w:t>an</w:t>
      </w:r>
      <w:r>
        <w:rPr>
          <w:spacing w:val="-6"/>
        </w:rPr>
        <w:t> </w:t>
      </w:r>
      <w:r>
        <w:rPr/>
        <w:t>exemption</w:t>
      </w:r>
      <w:r>
        <w:rPr>
          <w:spacing w:val="-6"/>
        </w:rPr>
        <w:t> </w:t>
      </w:r>
      <w:r>
        <w:rPr/>
        <w:t>applies),</w:t>
      </w:r>
      <w:r>
        <w:rPr>
          <w:spacing w:val="-6"/>
        </w:rPr>
        <w:t> </w:t>
      </w:r>
      <w:r>
        <w:rPr/>
        <w:t>but</w:t>
      </w:r>
      <w:r>
        <w:rPr>
          <w:spacing w:val="-6"/>
        </w:rPr>
        <w:t> </w:t>
      </w:r>
      <w:r>
        <w:rPr/>
        <w:t>not</w:t>
      </w:r>
      <w:r>
        <w:rPr>
          <w:spacing w:val="-6"/>
        </w:rPr>
        <w:t> </w:t>
      </w:r>
      <w:r>
        <w:rPr/>
        <w:t>on</w:t>
      </w:r>
      <w:r>
        <w:rPr>
          <w:spacing w:val="-6"/>
        </w:rPr>
        <w:t> </w:t>
      </w:r>
      <w:r>
        <w:rPr/>
        <w:t>their</w:t>
      </w:r>
      <w:r>
        <w:rPr>
          <w:spacing w:val="-6"/>
        </w:rPr>
        <w:t> </w:t>
      </w:r>
      <w:r>
        <w:rPr/>
        <w:t>foreign</w:t>
      </w:r>
      <w:r>
        <w:rPr>
          <w:spacing w:val="-6"/>
        </w:rPr>
        <w:t> </w:t>
      </w:r>
      <w:r>
        <w:rPr/>
        <w:t>income.</w:t>
      </w:r>
      <w:r>
        <w:rPr>
          <w:spacing w:val="40"/>
        </w:rPr>
        <w:t> </w:t>
      </w:r>
      <w:r>
        <w:rPr/>
        <w:t>This</w:t>
      </w:r>
      <w:r>
        <w:rPr>
          <w:spacing w:val="-6"/>
        </w:rPr>
        <w:t> </w:t>
      </w:r>
      <w:r>
        <w:rPr/>
        <w:t>results</w:t>
      </w:r>
      <w:r>
        <w:rPr>
          <w:spacing w:val="-6"/>
        </w:rPr>
        <w:t> </w:t>
      </w:r>
      <w:r>
        <w:rPr/>
        <w:t>from the fact that the U.S. days of foreign students do not count for purposes of determining substantial presence in the United States for 5 calendar years.</w:t>
      </w:r>
    </w:p>
    <w:p>
      <w:pPr>
        <w:pStyle w:val="BodyText"/>
      </w:pPr>
    </w:p>
    <w:p>
      <w:pPr>
        <w:pStyle w:val="BodyText"/>
        <w:ind w:left="119" w:right="122"/>
      </w:pPr>
      <w:r>
        <w:rPr/>
        <w:t>The</w:t>
      </w:r>
      <w:r>
        <w:rPr>
          <w:spacing w:val="-3"/>
        </w:rPr>
        <w:t> </w:t>
      </w:r>
      <w:r>
        <w:rPr/>
        <w:t>5</w:t>
      </w:r>
      <w:r>
        <w:rPr>
          <w:spacing w:val="-3"/>
        </w:rPr>
        <w:t> </w:t>
      </w:r>
      <w:r>
        <w:rPr/>
        <w:t>calendar</w:t>
      </w:r>
      <w:r>
        <w:rPr>
          <w:spacing w:val="-3"/>
        </w:rPr>
        <w:t> </w:t>
      </w:r>
      <w:r>
        <w:rPr/>
        <w:t>years</w:t>
      </w:r>
      <w:r>
        <w:rPr>
          <w:spacing w:val="-3"/>
        </w:rPr>
        <w:t> </w:t>
      </w:r>
      <w:r>
        <w:rPr/>
        <w:t>include</w:t>
      </w:r>
      <w:r>
        <w:rPr>
          <w:spacing w:val="-3"/>
        </w:rPr>
        <w:t> </w:t>
      </w:r>
      <w:r>
        <w:rPr/>
        <w:t>any</w:t>
      </w:r>
      <w:r>
        <w:rPr>
          <w:spacing w:val="-3"/>
        </w:rPr>
        <w:t> </w:t>
      </w:r>
      <w:r>
        <w:rPr/>
        <w:t>year</w:t>
      </w:r>
      <w:r>
        <w:rPr>
          <w:spacing w:val="-3"/>
        </w:rPr>
        <w:t> </w:t>
      </w:r>
      <w:r>
        <w:rPr/>
        <w:t>of</w:t>
      </w:r>
      <w:r>
        <w:rPr>
          <w:spacing w:val="-3"/>
        </w:rPr>
        <w:t> </w:t>
      </w:r>
      <w:r>
        <w:rPr/>
        <w:t>presence</w:t>
      </w:r>
      <w:r>
        <w:rPr>
          <w:spacing w:val="-3"/>
        </w:rPr>
        <w:t> </w:t>
      </w:r>
      <w:r>
        <w:rPr/>
        <w:t>as</w:t>
      </w:r>
      <w:r>
        <w:rPr>
          <w:spacing w:val="-3"/>
        </w:rPr>
        <w:t> </w:t>
      </w:r>
      <w:r>
        <w:rPr/>
        <w:t>an</w:t>
      </w:r>
      <w:r>
        <w:rPr>
          <w:spacing w:val="-3"/>
        </w:rPr>
        <w:t> </w:t>
      </w:r>
      <w:r>
        <w:rPr/>
        <w:t>“exempt</w:t>
      </w:r>
      <w:r>
        <w:rPr>
          <w:spacing w:val="-3"/>
        </w:rPr>
        <w:t> </w:t>
      </w:r>
      <w:r>
        <w:rPr/>
        <w:t>individual”</w:t>
      </w:r>
      <w:r>
        <w:rPr>
          <w:spacing w:val="-3"/>
        </w:rPr>
        <w:t> </w:t>
      </w:r>
      <w:r>
        <w:rPr/>
        <w:t>in</w:t>
      </w:r>
      <w:r>
        <w:rPr>
          <w:spacing w:val="-3"/>
        </w:rPr>
        <w:t> </w:t>
      </w:r>
      <w:r>
        <w:rPr/>
        <w:t>F,</w:t>
      </w:r>
      <w:r>
        <w:rPr>
          <w:spacing w:val="-3"/>
        </w:rPr>
        <w:t> </w:t>
      </w:r>
      <w:r>
        <w:rPr/>
        <w:t>J,</w:t>
      </w:r>
      <w:r>
        <w:rPr>
          <w:spacing w:val="-3"/>
        </w:rPr>
        <w:t> </w:t>
      </w:r>
      <w:r>
        <w:rPr/>
        <w:t>M</w:t>
      </w:r>
      <w:r>
        <w:rPr>
          <w:spacing w:val="-3"/>
        </w:rPr>
        <w:t> </w:t>
      </w:r>
      <w:r>
        <w:rPr/>
        <w:t>or Q status since 1985. Special transitional rules apply to students who were already in the United States in 1985.</w:t>
      </w:r>
      <w:r>
        <w:rPr>
          <w:spacing w:val="78"/>
        </w:rPr>
        <w:t> </w:t>
      </w:r>
      <w:r>
        <w:rPr/>
        <w:t>Calendar years include years in which foreign students</w:t>
      </w:r>
      <w:r>
        <w:rPr>
          <w:spacing w:val="-1"/>
        </w:rPr>
        <w:t> </w:t>
      </w:r>
      <w:r>
        <w:rPr/>
        <w:t>spent</w:t>
      </w:r>
      <w:r>
        <w:rPr>
          <w:spacing w:val="-1"/>
        </w:rPr>
        <w:t> </w:t>
      </w:r>
      <w:r>
        <w:rPr/>
        <w:t>in the Untied States in high school, or even as young children accompanying a student </w:t>
      </w:r>
      <w:r>
        <w:rPr>
          <w:spacing w:val="-2"/>
        </w:rPr>
        <w:t>parent.</w:t>
      </w:r>
    </w:p>
    <w:p>
      <w:pPr>
        <w:pStyle w:val="BodyText"/>
      </w:pPr>
    </w:p>
    <w:p>
      <w:pPr>
        <w:pStyle w:val="BodyText"/>
        <w:ind w:left="119" w:right="122"/>
      </w:pPr>
      <w:r>
        <w:rPr/>
        <w:t>Whether</w:t>
      </w:r>
      <w:r>
        <w:rPr>
          <w:spacing w:val="-4"/>
        </w:rPr>
        <w:t> </w:t>
      </w:r>
      <w:r>
        <w:rPr/>
        <w:t>taxes</w:t>
      </w:r>
      <w:r>
        <w:rPr>
          <w:spacing w:val="-4"/>
        </w:rPr>
        <w:t> </w:t>
      </w:r>
      <w:r>
        <w:rPr/>
        <w:t>are</w:t>
      </w:r>
      <w:r>
        <w:rPr>
          <w:spacing w:val="-4"/>
        </w:rPr>
        <w:t> </w:t>
      </w:r>
      <w:r>
        <w:rPr/>
        <w:t>lower</w:t>
      </w:r>
      <w:r>
        <w:rPr>
          <w:spacing w:val="-4"/>
        </w:rPr>
        <w:t> </w:t>
      </w:r>
      <w:r>
        <w:rPr/>
        <w:t>for</w:t>
      </w:r>
      <w:r>
        <w:rPr>
          <w:spacing w:val="-4"/>
        </w:rPr>
        <w:t> </w:t>
      </w:r>
      <w:r>
        <w:rPr/>
        <w:t>foreign</w:t>
      </w:r>
      <w:r>
        <w:rPr>
          <w:spacing w:val="-4"/>
        </w:rPr>
        <w:t> </w:t>
      </w:r>
      <w:r>
        <w:rPr/>
        <w:t>students</w:t>
      </w:r>
      <w:r>
        <w:rPr>
          <w:spacing w:val="-4"/>
        </w:rPr>
        <w:t> </w:t>
      </w:r>
      <w:r>
        <w:rPr/>
        <w:t>who</w:t>
      </w:r>
      <w:r>
        <w:rPr>
          <w:spacing w:val="-4"/>
        </w:rPr>
        <w:t> </w:t>
      </w:r>
      <w:r>
        <w:rPr/>
        <w:t>are</w:t>
      </w:r>
      <w:r>
        <w:rPr>
          <w:spacing w:val="-4"/>
        </w:rPr>
        <w:t> </w:t>
      </w:r>
      <w:r>
        <w:rPr/>
        <w:t>resident</w:t>
      </w:r>
      <w:r>
        <w:rPr>
          <w:spacing w:val="-4"/>
        </w:rPr>
        <w:t> </w:t>
      </w:r>
      <w:r>
        <w:rPr/>
        <w:t>aliens</w:t>
      </w:r>
      <w:r>
        <w:rPr>
          <w:spacing w:val="-4"/>
        </w:rPr>
        <w:t> </w:t>
      </w:r>
      <w:r>
        <w:rPr/>
        <w:t>or</w:t>
      </w:r>
      <w:r>
        <w:rPr>
          <w:spacing w:val="-4"/>
        </w:rPr>
        <w:t> </w:t>
      </w:r>
      <w:r>
        <w:rPr/>
        <w:t>nonresident</w:t>
      </w:r>
      <w:r>
        <w:rPr>
          <w:spacing w:val="-4"/>
        </w:rPr>
        <w:t> </w:t>
      </w:r>
      <w:r>
        <w:rPr/>
        <w:t>aliens depends upon their type and source of income. Foreign students engaged in optional practical training in their 6</w:t>
      </w:r>
      <w:r>
        <w:rPr>
          <w:vertAlign w:val="superscript"/>
        </w:rPr>
        <w:t>th</w:t>
      </w:r>
      <w:r>
        <w:rPr>
          <w:vertAlign w:val="baseline"/>
        </w:rPr>
        <w:t> calendar year of U.S. presence frequently</w:t>
      </w:r>
      <w:r>
        <w:rPr>
          <w:spacing w:val="40"/>
          <w:vertAlign w:val="baseline"/>
        </w:rPr>
        <w:t> </w:t>
      </w:r>
      <w:r>
        <w:rPr>
          <w:vertAlign w:val="baseline"/>
        </w:rPr>
        <w:t>wish to remain nonresident</w:t>
      </w:r>
      <w:r>
        <w:rPr>
          <w:spacing w:val="-2"/>
          <w:vertAlign w:val="baseline"/>
        </w:rPr>
        <w:t> </w:t>
      </w:r>
      <w:r>
        <w:rPr>
          <w:vertAlign w:val="baseline"/>
        </w:rPr>
        <w:t>aliens</w:t>
      </w:r>
      <w:r>
        <w:rPr>
          <w:spacing w:val="-2"/>
          <w:vertAlign w:val="baseline"/>
        </w:rPr>
        <w:t> </w:t>
      </w:r>
      <w:r>
        <w:rPr>
          <w:vertAlign w:val="baseline"/>
        </w:rPr>
        <w:t>to</w:t>
      </w:r>
      <w:r>
        <w:rPr>
          <w:spacing w:val="-2"/>
          <w:vertAlign w:val="baseline"/>
        </w:rPr>
        <w:t> </w:t>
      </w:r>
      <w:r>
        <w:rPr>
          <w:vertAlign w:val="baseline"/>
        </w:rPr>
        <w:t>avail</w:t>
      </w:r>
      <w:r>
        <w:rPr>
          <w:spacing w:val="-2"/>
          <w:vertAlign w:val="baseline"/>
        </w:rPr>
        <w:t> </w:t>
      </w:r>
      <w:r>
        <w:rPr>
          <w:vertAlign w:val="baseline"/>
        </w:rPr>
        <w:t>themselves</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social</w:t>
      </w:r>
      <w:r>
        <w:rPr>
          <w:spacing w:val="-2"/>
          <w:vertAlign w:val="baseline"/>
        </w:rPr>
        <w:t> </w:t>
      </w:r>
      <w:r>
        <w:rPr>
          <w:vertAlign w:val="baseline"/>
        </w:rPr>
        <w:t>security</w:t>
      </w:r>
      <w:r>
        <w:rPr>
          <w:spacing w:val="-2"/>
          <w:vertAlign w:val="baseline"/>
        </w:rPr>
        <w:t> </w:t>
      </w:r>
      <w:r>
        <w:rPr>
          <w:vertAlign w:val="baseline"/>
        </w:rPr>
        <w:t>and</w:t>
      </w:r>
      <w:r>
        <w:rPr>
          <w:spacing w:val="-2"/>
          <w:vertAlign w:val="baseline"/>
        </w:rPr>
        <w:t> </w:t>
      </w:r>
      <w:r>
        <w:rPr>
          <w:vertAlign w:val="baseline"/>
        </w:rPr>
        <w:t>Medicare</w:t>
      </w:r>
      <w:r>
        <w:rPr>
          <w:spacing w:val="-2"/>
          <w:vertAlign w:val="baseline"/>
        </w:rPr>
        <w:t> </w:t>
      </w:r>
      <w:r>
        <w:rPr>
          <w:vertAlign w:val="baseline"/>
        </w:rPr>
        <w:t>Tax</w:t>
      </w:r>
      <w:r>
        <w:rPr>
          <w:spacing w:val="-2"/>
          <w:vertAlign w:val="baseline"/>
        </w:rPr>
        <w:t> </w:t>
      </w:r>
      <w:r>
        <w:rPr>
          <w:vertAlign w:val="baseline"/>
        </w:rPr>
        <w:t>exemption that applies</w:t>
      </w:r>
      <w:r>
        <w:rPr>
          <w:spacing w:val="40"/>
          <w:vertAlign w:val="baseline"/>
        </w:rPr>
        <w:t> </w:t>
      </w:r>
      <w:r>
        <w:rPr>
          <w:vertAlign w:val="baseline"/>
        </w:rPr>
        <w:t>to nonresident aliens in F-1 and J-1 status. However, foreign students who are intending to change status to H-1B Specialty Worker are not eligible for the closer connection extension of their non-residency status.</w:t>
      </w:r>
    </w:p>
    <w:p>
      <w:pPr>
        <w:spacing w:after="0"/>
        <w:sectPr>
          <w:footerReference w:type="default" r:id="rId5"/>
          <w:type w:val="continuous"/>
          <w:pgSz w:w="12240" w:h="15840"/>
          <w:pgMar w:header="0" w:footer="1348" w:top="1360" w:bottom="1540" w:left="1680" w:right="1720"/>
          <w:pgNumType w:start="1"/>
        </w:sectPr>
      </w:pPr>
    </w:p>
    <w:p>
      <w:pPr>
        <w:pStyle w:val="BodyText"/>
        <w:spacing w:before="76"/>
        <w:ind w:left="120"/>
      </w:pPr>
      <w:r>
        <w:rPr>
          <w:spacing w:val="-2"/>
        </w:rPr>
        <w:t>Example:</w:t>
      </w:r>
    </w:p>
    <w:p>
      <w:pPr>
        <w:pStyle w:val="BodyText"/>
        <w:ind w:left="119" w:right="140"/>
      </w:pPr>
      <w:r>
        <w:rPr/>
        <w:t>An F-1</w:t>
      </w:r>
      <w:r>
        <w:rPr>
          <w:spacing w:val="-2"/>
        </w:rPr>
        <w:t> </w:t>
      </w:r>
      <w:r>
        <w:rPr/>
        <w:t>student,</w:t>
      </w:r>
      <w:r>
        <w:rPr>
          <w:spacing w:val="-2"/>
        </w:rPr>
        <w:t> </w:t>
      </w:r>
      <w:r>
        <w:rPr/>
        <w:t>who</w:t>
      </w:r>
      <w:r>
        <w:rPr>
          <w:spacing w:val="-2"/>
        </w:rPr>
        <w:t> </w:t>
      </w:r>
      <w:r>
        <w:rPr/>
        <w:t>is</w:t>
      </w:r>
      <w:r>
        <w:rPr>
          <w:spacing w:val="-2"/>
        </w:rPr>
        <w:t> </w:t>
      </w:r>
      <w:r>
        <w:rPr/>
        <w:t>subject</w:t>
      </w:r>
      <w:r>
        <w:rPr>
          <w:spacing w:val="-2"/>
        </w:rPr>
        <w:t> </w:t>
      </w:r>
      <w:r>
        <w:rPr/>
        <w:t>to</w:t>
      </w:r>
      <w:r>
        <w:rPr>
          <w:spacing w:val="-2"/>
        </w:rPr>
        <w:t> </w:t>
      </w:r>
      <w:r>
        <w:rPr/>
        <w:t>the</w:t>
      </w:r>
      <w:r>
        <w:rPr>
          <w:spacing w:val="-2"/>
        </w:rPr>
        <w:t> </w:t>
      </w:r>
      <w:r>
        <w:rPr/>
        <w:t>five-year</w:t>
      </w:r>
      <w:r>
        <w:rPr>
          <w:spacing w:val="-5"/>
        </w:rPr>
        <w:t> </w:t>
      </w:r>
      <w:r>
        <w:rPr/>
        <w:t>exempt</w:t>
      </w:r>
      <w:r>
        <w:rPr>
          <w:spacing w:val="-5"/>
        </w:rPr>
        <w:t> </w:t>
      </w:r>
      <w:r>
        <w:rPr/>
        <w:t>individual</w:t>
      </w:r>
      <w:r>
        <w:rPr>
          <w:spacing w:val="-5"/>
        </w:rPr>
        <w:t> </w:t>
      </w:r>
      <w:r>
        <w:rPr/>
        <w:t>rule,</w:t>
      </w:r>
      <w:r>
        <w:rPr>
          <w:spacing w:val="-5"/>
        </w:rPr>
        <w:t> </w:t>
      </w:r>
      <w:r>
        <w:rPr/>
        <w:t>arrives</w:t>
      </w:r>
      <w:r>
        <w:rPr>
          <w:spacing w:val="-5"/>
        </w:rPr>
        <w:t> </w:t>
      </w:r>
      <w:r>
        <w:rPr/>
        <w:t>in</w:t>
      </w:r>
      <w:r>
        <w:rPr>
          <w:spacing w:val="-5"/>
        </w:rPr>
        <w:t> </w:t>
      </w:r>
      <w:r>
        <w:rPr/>
        <w:t>the</w:t>
      </w:r>
      <w:r>
        <w:rPr>
          <w:spacing w:val="-5"/>
        </w:rPr>
        <w:t> </w:t>
      </w:r>
      <w:r>
        <w:rPr/>
        <w:t>U.S. for</w:t>
      </w:r>
      <w:r>
        <w:rPr>
          <w:spacing w:val="-3"/>
        </w:rPr>
        <w:t> </w:t>
      </w:r>
      <w:r>
        <w:rPr/>
        <w:t>the</w:t>
      </w:r>
      <w:r>
        <w:rPr>
          <w:spacing w:val="-3"/>
        </w:rPr>
        <w:t> </w:t>
      </w:r>
      <w:r>
        <w:rPr/>
        <w:t>first</w:t>
      </w:r>
      <w:r>
        <w:rPr>
          <w:spacing w:val="-3"/>
        </w:rPr>
        <w:t> </w:t>
      </w:r>
      <w:r>
        <w:rPr/>
        <w:t>time</w:t>
      </w:r>
      <w:r>
        <w:rPr>
          <w:spacing w:val="-3"/>
        </w:rPr>
        <w:t> </w:t>
      </w:r>
      <w:r>
        <w:rPr/>
        <w:t>on</w:t>
      </w:r>
      <w:r>
        <w:rPr>
          <w:spacing w:val="-3"/>
        </w:rPr>
        <w:t> </w:t>
      </w:r>
      <w:r>
        <w:rPr/>
        <w:t>June</w:t>
      </w:r>
      <w:r>
        <w:rPr>
          <w:spacing w:val="-3"/>
        </w:rPr>
        <w:t> </w:t>
      </w:r>
      <w:r>
        <w:rPr/>
        <w:t>1,</w:t>
      </w:r>
      <w:r>
        <w:rPr>
          <w:spacing w:val="-3"/>
        </w:rPr>
        <w:t> </w:t>
      </w:r>
      <w:r>
        <w:rPr/>
        <w:t>1999.</w:t>
      </w:r>
      <w:r>
        <w:rPr>
          <w:spacing w:val="40"/>
        </w:rPr>
        <w:t> </w:t>
      </w:r>
      <w:r>
        <w:rPr/>
        <w:t>Her</w:t>
      </w:r>
      <w:r>
        <w:rPr>
          <w:spacing w:val="-3"/>
        </w:rPr>
        <w:t> </w:t>
      </w:r>
      <w:r>
        <w:rPr/>
        <w:t>first</w:t>
      </w:r>
      <w:r>
        <w:rPr>
          <w:spacing w:val="-3"/>
        </w:rPr>
        <w:t> </w:t>
      </w:r>
      <w:r>
        <w:rPr/>
        <w:t>calendar</w:t>
      </w:r>
      <w:r>
        <w:rPr>
          <w:spacing w:val="-3"/>
        </w:rPr>
        <w:t> </w:t>
      </w:r>
      <w:r>
        <w:rPr/>
        <w:t>year</w:t>
      </w:r>
      <w:r>
        <w:rPr>
          <w:spacing w:val="-3"/>
        </w:rPr>
        <w:t> </w:t>
      </w:r>
      <w:r>
        <w:rPr/>
        <w:t>as</w:t>
      </w:r>
      <w:r>
        <w:rPr>
          <w:spacing w:val="-3"/>
        </w:rPr>
        <w:t> </w:t>
      </w:r>
      <w:r>
        <w:rPr/>
        <w:t>an</w:t>
      </w:r>
      <w:r>
        <w:rPr>
          <w:spacing w:val="-3"/>
        </w:rPr>
        <w:t> </w:t>
      </w:r>
      <w:r>
        <w:rPr/>
        <w:t>exempt individual</w:t>
      </w:r>
      <w:r>
        <w:rPr>
          <w:spacing w:val="-1"/>
        </w:rPr>
        <w:t> </w:t>
      </w:r>
      <w:r>
        <w:rPr/>
        <w:t>will</w:t>
      </w:r>
      <w:r>
        <w:rPr>
          <w:spacing w:val="-1"/>
        </w:rPr>
        <w:t> </w:t>
      </w:r>
      <w:r>
        <w:rPr/>
        <w:t>be 1999, and her remaining years of exempt individual status will be 2000, 2001, 2002 and 2003. Beginning on January 1, 2004, she will count days in the U.S. toward the substantial presence test.</w:t>
      </w:r>
      <w:r>
        <w:rPr>
          <w:spacing w:val="40"/>
        </w:rPr>
        <w:t> </w:t>
      </w:r>
      <w:r>
        <w:rPr/>
        <w:t>Assuming she is present in the U.S. for 183 days during 2004, she will meet the substantial presence test on July 2, 2004, and be considered a resident alien for that year.</w:t>
      </w:r>
    </w:p>
    <w:sectPr>
      <w:pgSz w:w="12240" w:h="15840"/>
      <w:pgMar w:header="0" w:footer="1348" w:top="1620" w:bottom="1540" w:left="168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61728">
              <wp:simplePos x="0" y="0"/>
              <wp:positionH relativeFrom="page">
                <wp:posOffset>1130300</wp:posOffset>
              </wp:positionH>
              <wp:positionV relativeFrom="page">
                <wp:posOffset>9056454</wp:posOffset>
              </wp:positionV>
              <wp:extent cx="5427980" cy="5448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427980" cy="544830"/>
                      </a:xfrm>
                      <a:prstGeom prst="rect">
                        <a:avLst/>
                      </a:prstGeom>
                    </wps:spPr>
                    <wps:txbx>
                      <w:txbxContent>
                        <w:p>
                          <w:pPr>
                            <w:pStyle w:val="BodyText"/>
                            <w:spacing w:before="10"/>
                            <w:ind w:left="20" w:right="18"/>
                          </w:pPr>
                          <w:r>
                            <w:rPr/>
                            <w:t>Nonresident Alien Tax Compliance: A Guide for Institutions Making Payments to Foreign</w:t>
                          </w:r>
                          <w:r>
                            <w:rPr>
                              <w:spacing w:val="-7"/>
                            </w:rPr>
                            <w:t> </w:t>
                          </w:r>
                          <w:r>
                            <w:rPr/>
                            <w:t>Students,</w:t>
                          </w:r>
                          <w:r>
                            <w:rPr>
                              <w:spacing w:val="-7"/>
                            </w:rPr>
                            <w:t> </w:t>
                          </w:r>
                          <w:r>
                            <w:rPr/>
                            <w:t>Scholars,</w:t>
                          </w:r>
                          <w:r>
                            <w:rPr>
                              <w:spacing w:val="-7"/>
                            </w:rPr>
                            <w:t> </w:t>
                          </w:r>
                          <w:r>
                            <w:rPr/>
                            <w:t>Employees,</w:t>
                          </w:r>
                          <w:r>
                            <w:rPr>
                              <w:spacing w:val="-7"/>
                            </w:rPr>
                            <w:t> </w:t>
                          </w:r>
                          <w:r>
                            <w:rPr/>
                            <w:t>and</w:t>
                          </w:r>
                          <w:r>
                            <w:rPr>
                              <w:spacing w:val="-7"/>
                            </w:rPr>
                            <w:t> </w:t>
                          </w:r>
                          <w:r>
                            <w:rPr/>
                            <w:t>Other</w:t>
                          </w:r>
                          <w:r>
                            <w:rPr>
                              <w:spacing w:val="-7"/>
                            </w:rPr>
                            <w:t> </w:t>
                          </w:r>
                          <w:r>
                            <w:rPr/>
                            <w:t>International</w:t>
                          </w:r>
                          <w:r>
                            <w:rPr>
                              <w:spacing w:val="-7"/>
                            </w:rPr>
                            <w:t> </w:t>
                          </w:r>
                          <w:r>
                            <w:rPr/>
                            <w:t>Visitors</w:t>
                          </w:r>
                          <w:r>
                            <w:rPr>
                              <w:spacing w:val="-7"/>
                            </w:rPr>
                            <w:t> </w:t>
                          </w:r>
                          <w:r>
                            <w:rPr/>
                            <w:t>Volume</w:t>
                          </w:r>
                          <w:r>
                            <w:rPr>
                              <w:spacing w:val="-7"/>
                            </w:rPr>
                            <w:t> </w:t>
                          </w:r>
                          <w:r>
                            <w:rPr/>
                            <w:t>One</w:t>
                          </w:r>
                          <w:r>
                            <w:rPr>
                              <w:spacing w:val="-7"/>
                            </w:rPr>
                            <w:t> </w:t>
                          </w:r>
                          <w:r>
                            <w:rPr/>
                            <w:t>by Donna E. Kepley Arctic International LLC.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9pt;margin-top:713.106628pt;width:427.4pt;height:42.9pt;mso-position-horizontal-relative:page;mso-position-vertical-relative:page;z-index:-15754752" type="#_x0000_t202" id="docshape1" filled="false" stroked="false">
              <v:textbox inset="0,0,0,0">
                <w:txbxContent>
                  <w:p>
                    <w:pPr>
                      <w:pStyle w:val="BodyText"/>
                      <w:spacing w:before="10"/>
                      <w:ind w:left="20" w:right="18"/>
                    </w:pPr>
                    <w:r>
                      <w:rPr/>
                      <w:t>Nonresident Alien Tax Compliance: A Guide for Institutions Making Payments to Foreign</w:t>
                    </w:r>
                    <w:r>
                      <w:rPr>
                        <w:spacing w:val="-7"/>
                      </w:rPr>
                      <w:t> </w:t>
                    </w:r>
                    <w:r>
                      <w:rPr/>
                      <w:t>Students,</w:t>
                    </w:r>
                    <w:r>
                      <w:rPr>
                        <w:spacing w:val="-7"/>
                      </w:rPr>
                      <w:t> </w:t>
                    </w:r>
                    <w:r>
                      <w:rPr/>
                      <w:t>Scholars,</w:t>
                    </w:r>
                    <w:r>
                      <w:rPr>
                        <w:spacing w:val="-7"/>
                      </w:rPr>
                      <w:t> </w:t>
                    </w:r>
                    <w:r>
                      <w:rPr/>
                      <w:t>Employees,</w:t>
                    </w:r>
                    <w:r>
                      <w:rPr>
                        <w:spacing w:val="-7"/>
                      </w:rPr>
                      <w:t> </w:t>
                    </w:r>
                    <w:r>
                      <w:rPr/>
                      <w:t>and</w:t>
                    </w:r>
                    <w:r>
                      <w:rPr>
                        <w:spacing w:val="-7"/>
                      </w:rPr>
                      <w:t> </w:t>
                    </w:r>
                    <w:r>
                      <w:rPr/>
                      <w:t>Other</w:t>
                    </w:r>
                    <w:r>
                      <w:rPr>
                        <w:spacing w:val="-7"/>
                      </w:rPr>
                      <w:t> </w:t>
                    </w:r>
                    <w:r>
                      <w:rPr/>
                      <w:t>International</w:t>
                    </w:r>
                    <w:r>
                      <w:rPr>
                        <w:spacing w:val="-7"/>
                      </w:rPr>
                      <w:t> </w:t>
                    </w:r>
                    <w:r>
                      <w:rPr/>
                      <w:t>Visitors</w:t>
                    </w:r>
                    <w:r>
                      <w:rPr>
                        <w:spacing w:val="-7"/>
                      </w:rPr>
                      <w:t> </w:t>
                    </w:r>
                    <w:r>
                      <w:rPr/>
                      <w:t>Volume</w:t>
                    </w:r>
                    <w:r>
                      <w:rPr>
                        <w:spacing w:val="-7"/>
                      </w:rPr>
                      <w:t> </w:t>
                    </w:r>
                    <w:r>
                      <w:rPr/>
                      <w:t>One</w:t>
                    </w:r>
                    <w:r>
                      <w:rPr>
                        <w:spacing w:val="-7"/>
                      </w:rPr>
                      <w:t> </w:t>
                    </w:r>
                    <w:r>
                      <w:rPr/>
                      <w:t>by Donna E. Kepley Arctic International LLC.</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7"/>
      <w:outlineLvl w:val="1"/>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mhammer</dc:creator>
  <dc:title>ForeignEmployeeInfo.doc</dc:title>
  <dcterms:created xsi:type="dcterms:W3CDTF">2023-12-29T22:08:58Z</dcterms:created>
  <dcterms:modified xsi:type="dcterms:W3CDTF">2023-12-29T22:08:58Z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2004-12-01T00:00:00Z</vt:filetime>
  </property>
  <property fmtid="{D5CDD505-2E9C-101B-9397-08002B2CF9AE}" pid="3" name="Creator">
    <vt:lpwstr>ForeignEmployeeInfo - Microsoft Word</vt:lpwstr>
  </property>
  <property fmtid="{D5CDD505-2E9C-101B-9397-08002B2CF9AE}" pid="4" name="Producer">
    <vt:lpwstr>Acrobat PDFWriter 5.0 for Windows NT</vt:lpwstr>
  </property>
  <property fmtid="{D5CDD505-2E9C-101B-9397-08002B2CF9AE}" pid="5" name="LastSaved">
    <vt:filetime>2004-12-01T00:00:00Z</vt:filetime>
  </property>
</Properties>
</file>